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C4DF5" w14:textId="77777777" w:rsidR="000964C7" w:rsidRDefault="000964C7" w:rsidP="008074A8">
      <w:pPr>
        <w:ind w:left="1843"/>
        <w:rPr>
          <w:rFonts w:ascii="Times New Roman" w:eastAsia="MS Reference 2" w:hAnsi="Times New Roman"/>
          <w:noProof/>
        </w:rPr>
      </w:pPr>
      <w:bookmarkStart w:id="0" w:name="_GoBack"/>
      <w:bookmarkEnd w:id="0"/>
      <w:r>
        <w:rPr>
          <w:rFonts w:ascii="Times New Roman" w:eastAsia="MS Reference 2" w:hAnsi="Times New Roman"/>
          <w:noProof/>
        </w:rPr>
        <w:t xml:space="preserve">                   </w:t>
      </w:r>
      <w:r w:rsidR="00454941">
        <w:rPr>
          <w:rFonts w:ascii="Times New Roman" w:eastAsia="MS Reference 2" w:hAnsi="Times New Roman"/>
          <w:noProof/>
        </w:rPr>
        <w:t xml:space="preserve">   </w:t>
      </w:r>
      <w:r>
        <w:rPr>
          <w:rFonts w:ascii="Times New Roman" w:eastAsia="MS Reference 2" w:hAnsi="Times New Roman"/>
          <w:noProof/>
        </w:rPr>
        <w:t xml:space="preserve">  </w:t>
      </w:r>
      <w:r>
        <w:rPr>
          <w:rFonts w:ascii="Times New Roman" w:eastAsia="MS Reference 2" w:hAnsi="Times New Roman"/>
          <w:noProof/>
          <w:lang w:val="hr-HR"/>
        </w:rPr>
        <w:drawing>
          <wp:inline distT="0" distB="0" distL="0" distR="0" wp14:anchorId="32AD0224" wp14:editId="3237F1BA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575C97" w14:textId="77777777" w:rsidR="00512988" w:rsidRDefault="00512988" w:rsidP="008074A8">
      <w:pPr>
        <w:ind w:left="1843"/>
        <w:rPr>
          <w:rFonts w:ascii="Times New Roman" w:eastAsia="MS Reference 2" w:hAnsi="Times New Roman"/>
          <w:noProof/>
        </w:rPr>
      </w:pPr>
    </w:p>
    <w:p w14:paraId="1A87C342" w14:textId="77777777"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 w14:anchorId="27412D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5.25pt" o:ole="">
            <v:imagedata r:id="rId9" o:title=""/>
          </v:shape>
          <o:OLEObject Type="Embed" ProgID="PBrush" ShapeID="_x0000_i1025" DrawAspect="Content" ObjectID="_1807350756" r:id="rId10"/>
        </w:object>
      </w:r>
    </w:p>
    <w:p w14:paraId="655A6981" w14:textId="77777777" w:rsidR="000964C7" w:rsidRDefault="000964C7" w:rsidP="00454941">
      <w:pPr>
        <w:spacing w:line="276" w:lineRule="auto"/>
        <w:ind w:left="567" w:right="2835"/>
        <w:jc w:val="center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14:paraId="588E7259" w14:textId="77777777" w:rsidR="000964C7" w:rsidRDefault="000964C7" w:rsidP="00454941">
      <w:pPr>
        <w:spacing w:line="276" w:lineRule="auto"/>
        <w:ind w:left="567" w:right="2835"/>
        <w:jc w:val="center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14:paraId="6BC59D2A" w14:textId="77777777" w:rsidR="000964C7" w:rsidRPr="00647CBD" w:rsidRDefault="00F65B80" w:rsidP="00454941">
      <w:pPr>
        <w:spacing w:line="276" w:lineRule="auto"/>
        <w:ind w:left="567" w:right="2835"/>
        <w:jc w:val="center"/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</w:pPr>
      <w:r w:rsidRPr="00F65B80">
        <w:rPr>
          <w:rFonts w:ascii="Times New Roman" w:eastAsia="MS Reference 2" w:hAnsi="Times New Roman"/>
          <w:b/>
          <w:bCs/>
          <w:noProof/>
          <w:lang w:val="de-DE"/>
        </w:rPr>
        <w:t xml:space="preserve">UPRAVNI ODJEL ZA </w:t>
      </w:r>
      <w:r w:rsidR="00454941">
        <w:rPr>
          <w:rFonts w:ascii="Times New Roman" w:eastAsia="MS Reference 2" w:hAnsi="Times New Roman"/>
          <w:b/>
          <w:bCs/>
          <w:noProof/>
          <w:lang w:val="de-DE"/>
        </w:rPr>
        <w:t>PROSTORNO UREĐENJE, GRADNJU, ZAŠTITU OKOLIŠA I ZAŠTITU PRIRODE</w:t>
      </w:r>
    </w:p>
    <w:p w14:paraId="172B567C" w14:textId="77777777"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</w:p>
    <w:p w14:paraId="74A1A132" w14:textId="77777777" w:rsidR="00454941" w:rsidRDefault="00454941" w:rsidP="00647CBD">
      <w:pPr>
        <w:rPr>
          <w:rFonts w:ascii="Times New Roman" w:hAnsi="Times New Roman"/>
          <w:b/>
          <w:i/>
          <w:szCs w:val="24"/>
          <w:lang w:val="de-DE"/>
        </w:rPr>
      </w:pPr>
    </w:p>
    <w:p w14:paraId="77B1E64F" w14:textId="77777777" w:rsidR="00454941" w:rsidRPr="00E55B2F" w:rsidRDefault="00454941" w:rsidP="00454941">
      <w:pPr>
        <w:rPr>
          <w:rFonts w:ascii="Times New Roman" w:hAnsi="Times New Roman"/>
          <w:b/>
          <w:i/>
        </w:rPr>
      </w:pPr>
      <w:r w:rsidRPr="00E55B2F">
        <w:rPr>
          <w:rFonts w:ascii="Times New Roman" w:hAnsi="Times New Roman"/>
          <w:b/>
          <w:i/>
        </w:rPr>
        <w:t xml:space="preserve">RAZDJEL: </w:t>
      </w:r>
      <w:r>
        <w:rPr>
          <w:rFonts w:ascii="Times New Roman" w:hAnsi="Times New Roman"/>
          <w:b/>
          <w:i/>
        </w:rPr>
        <w:t>005</w:t>
      </w:r>
      <w:r w:rsidRPr="00E55B2F">
        <w:rPr>
          <w:rFonts w:ascii="Times New Roman" w:hAnsi="Times New Roman"/>
          <w:b/>
          <w:i/>
        </w:rPr>
        <w:t xml:space="preserve"> UPRAVNI ODJEL ZA PROSTORNO UREĐENJE, GRADNJU, ZAŠTITU OKOLIŠA I ZAŠTITU PRIRODE</w:t>
      </w:r>
    </w:p>
    <w:p w14:paraId="7EDD5B4F" w14:textId="77777777" w:rsidR="00454941" w:rsidRDefault="00454941" w:rsidP="00454941">
      <w:pPr>
        <w:tabs>
          <w:tab w:val="right" w:pos="9072"/>
        </w:tabs>
        <w:rPr>
          <w:rFonts w:ascii="Times New Roman" w:hAnsi="Times New Roman"/>
          <w:b/>
        </w:rPr>
      </w:pPr>
    </w:p>
    <w:p w14:paraId="0D04D439" w14:textId="77777777" w:rsidR="00454941" w:rsidRPr="00E55B2F" w:rsidRDefault="00454941" w:rsidP="00454941">
      <w:pPr>
        <w:tabs>
          <w:tab w:val="right" w:pos="9072"/>
        </w:tabs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DJELOKRUG RADA:</w:t>
      </w:r>
    </w:p>
    <w:p w14:paraId="0D4E3F30" w14:textId="77777777" w:rsidR="00454941" w:rsidRPr="00E55B2F" w:rsidRDefault="00454941" w:rsidP="00454941">
      <w:p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Upravni odjel za prostorno uređenje, gradnju, zaštitu okoliša i zaštitu prirode izvršava zakonske obveze iz svoje nadležnosti i obavlja poslove kako slijedi:</w:t>
      </w:r>
    </w:p>
    <w:p w14:paraId="0DDADBEC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upravnim stvarima u prvom stupnju glede provođenja dokumenata prostornog uređenja izdavanjem: lokacijskih dozvola, izmjena, dopuna, produljenja, poništenja, ukidanja lokacijskih dozvola, rješenja o utvrđivanju građevne čestice dozvola za promjenu namjene i uporabu građevine, odbacivanja neupravnog postupka,</w:t>
      </w:r>
    </w:p>
    <w:p w14:paraId="2033AB27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upravnim stvarima u prvom stupnju u postupku gradnje i ozakonjenja izdavanjem: građevinskih dozvola, izmjena i dopuna građevinskih dozvola, promjena investitora, produljenja, poništenja, ukidanja građevinskih dozvola, uporabnih dozvola, uporabnih dozvola za određene građevine: uporabna dozvola za građevine izgrađene na temelju akta za građenje izdanog do 01.10.2007., uporabna dozvola za građevine izgrađene do 15.02.1968., uporabna dozvola za građevine koje je Republika Hrvatska stekla u svrhu stambenog zbrinjavanja, uporabna dozvola za građevine izgrađene, rekonstruirane, obnovljene ili sanirane u provedbi propisa o obnovi, odnosno propisa o područjima posebne državne skrbi, uporabna dozvola za građevine čiji je akt za građenje uništen ili nedostupan,</w:t>
      </w:r>
    </w:p>
    <w:p w14:paraId="7939B667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izmjena i dopuna rješenja za građenje, izmjena i dopuna rješenja o uvjetima građenja, izmjena i dopuna potvrde glavnog projekta, rješenja o izvedenom stanju, odbacivanja neupravnog postupka,</w:t>
      </w:r>
    </w:p>
    <w:p w14:paraId="3617994F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neupravnim stvarima u prvom stupnju glede provođenja dokumenata prostornog uređenja izdavanjem: lokacijskih informacija, akata i mišljenja iz područja prostornog uređenja, potvrda parcelacijskog elaborata, ishođenja Potvrde glavnog projekta, utvrđivanja posebnih uvjeta i uvjeta priključenja, potvrda završnog izvješća,</w:t>
      </w:r>
    </w:p>
    <w:p w14:paraId="42614A55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neupravnim stvarima u prvom stupnju u postupku gradnje: izdavanje akata i mišljenja iz područja gradnje, prijava početka građenja, prijava početka uklanjanja građevine, prijava nastavka građenja, prijava pokusnog rada, utvrđivanje posebnih uvjeta i uvjeta priključenja, potvrda izmjena i/ili dopuna potvrđenog glavnog projekta,</w:t>
      </w:r>
    </w:p>
    <w:p w14:paraId="296D8888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izdaje potvrde o samostalnim uporabnim cjelinama (etažiranje),</w:t>
      </w:r>
    </w:p>
    <w:p w14:paraId="6A1B813A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nositelj je izrade Prostornog plana Županije</w:t>
      </w:r>
    </w:p>
    <w:p w14:paraId="3C397446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upravlja sustavom eNekretnine na području Bjelovarsko-bilogorske županije, osim grada Bjelovara,</w:t>
      </w:r>
    </w:p>
    <w:p w14:paraId="032E71FB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provodi evaluacije nekretnina u sustavu eNekretnine,</w:t>
      </w:r>
    </w:p>
    <w:p w14:paraId="27D767C7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izdaje mišljenja na Elaborate o procjeni vrijednosti nekretnina putem Povjerenstva za procjenu vrijednosti nekretnina,</w:t>
      </w:r>
    </w:p>
    <w:p w14:paraId="0DB4FC9D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 xml:space="preserve">rješava u upravnim stvarima u prvom stupnju u provedbi propisa iz područja zaštite okoliša, zaštite prirode i gospodarenja otpadom, izdavanjem: dozvola za gospodarenje otpadom, </w:t>
      </w:r>
      <w:r w:rsidRPr="00E55B2F">
        <w:rPr>
          <w:rFonts w:ascii="Times New Roman" w:hAnsi="Times New Roman"/>
        </w:rPr>
        <w:lastRenderedPageBreak/>
        <w:t>rješenja o upisu u očevidnik uporabe za koju nije potrebno ishoditi dozvolu za gospodarenje otpadom, rješenja o potrebi provedbe postupka procjene utjecaja zahvata na okoliš, rješenja o prihvatljivosti zahvata za okoliš uz primjenu utvrđenih mjera zaštite okoliša, rješenja o prihvatljivosti zahvata za ekološku mrežu Natura 2000 i potrebi provođenja glavne ocjene, rješenja o prihvatljivosti zahvata za ekološku mrežu uz primjenu utvrđenih mjera ublažavanja negativnih utjecaja na ciljeve očuvanja i cjelovitost područja ekološke mreže te provedbu programa praćenja stanja i izvješćivanja o stanju ciljeva očuvanja i cjelovitosti ekološke mreže, dopuštenja za zahvate, radnje i istraživanja u zaštićenom području prirode,</w:t>
      </w:r>
    </w:p>
    <w:p w14:paraId="734BC9CE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izrađivanja planskih i izvještajnih dokumenata zaštite okoliša zaštite prirode i gospodarenja otpadom,</w:t>
      </w:r>
    </w:p>
    <w:p w14:paraId="3D89DB92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vođenja e-baze Registra onečišćavanja okoliša,</w:t>
      </w:r>
    </w:p>
    <w:p w14:paraId="6CB95411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izdavanja posebnih uvjeta zaštite okoliša i potvrda glavnog projekta za zahvate za koje upravno tijelo provodi postupak glavne ocjene prihvatljivosti zahvata za ekološku mrežu i za zahvate za koje upravno tijelo nadležno za poslove zaštite okoliša provodi postupak procjene utjecaja na okoliš</w:t>
      </w:r>
    </w:p>
    <w:p w14:paraId="1CDAFCD3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vođenja evidencija i izvješća propisanih zakonom i posebnim propisima, praćenja i dostave podataka iz područja prostornog uređenja, gradnje i zaštite okoliša, zaštite prirode i gospodarenja otpadom nadležnom ministarstvu i Zavodu za prostorno uređenje Bjelovarsko- bilogorske županije,</w:t>
      </w:r>
    </w:p>
    <w:p w14:paraId="1821ECD1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sudjelovanja u izradi prostorno-planske dokumentacije u okviru zakonom propisane nadležnosti,</w:t>
      </w:r>
    </w:p>
    <w:p w14:paraId="6886D04F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pripremanja stručnih mišljenja o prijedlozima zakona i drugih propisa iz područja prostornog uređenja, gradnje i zaštite okoliša, zaštite prirode i gospodarenja otpadom o kojima odlučuju tijela državne vlasti,</w:t>
      </w:r>
    </w:p>
    <w:p w14:paraId="16F2645B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rješavanja u upravnim stvarima u prvom stupnju glede ocjene prihvatljivosti zahvata, planova i programa za područje ekološke mreže Natura 2000, koja obuhvaća zaštićeno područje u kategorijama nadležnosti propisanih zakonom,</w:t>
      </w:r>
    </w:p>
    <w:p w14:paraId="6C00C1FC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rješavanja u upravnim stvarima u prvom stupnju glede procjene utjecaja na okoliš i ocjene o potrebi procjene utjecaja na okoliš propisanih zahvata,</w:t>
      </w:r>
    </w:p>
    <w:p w14:paraId="741ED2F6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sudjeluje u provedbi postupaka strateške procjene i postupka ocjene o potrebi strateške procjene utjecaja strategije, plana programa na okoliš izdavanjem mišljenja o sadržaju strateške studije i potrebi provedbe strateške procjene utjecaja strategije, plana programa na okoliš</w:t>
      </w:r>
      <w:r>
        <w:rPr>
          <w:rFonts w:ascii="Times New Roman" w:hAnsi="Times New Roman"/>
        </w:rPr>
        <w:t>,</w:t>
      </w:r>
    </w:p>
    <w:p w14:paraId="5D900F4B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sudjeluje u provedbi postupaka procjene utjecaja zahvata na okoliš i postupka ocjene o potrebi procjene utjecaja zahvata na okoliš izdavanje mišljenja o sadržaju Studije utjecaja na okoliš i potrebi provedbe procjene utjecaja zahvata na okoliš,</w:t>
      </w:r>
    </w:p>
    <w:p w14:paraId="7AA787AF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osiguravanja stručne pomoći nadležnom ministarstvu u postupcima procjene utjecaja na okoliš glavne ocjene prihvatljivosti zahvata za ekološku mrežu Natura 2000 područje i postupcima izdavanja okolišne dozvole organiziranjem javnih rasprava navedenih postupaka,</w:t>
      </w:r>
    </w:p>
    <w:p w14:paraId="080D43CE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osiguravanja stručne pomoći nadležnom ministarstvu utvrđivanjem ispunjavanja hrvatskih i EU standarda zaštite okoliša i prirode korisnika sredstava EU programa za izgradnju i opremanje gospodarskih građevina obavljanjem terenske kontrole i izrađivanjem izvješća u fazi prije isplate sredstava i u ex-post razdoblju,</w:t>
      </w:r>
    </w:p>
    <w:p w14:paraId="7FEEF9CB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sudjelovanja u radu povjerenstava u postupcima procjene utjecaja zahvata na okoliš iz nadležnosti ministarstva nadležnog za zaštitu okoliša, analiza studije utjecaja na okoliš i izrada mišljenja, primjedbi i prijedloga na studiju,</w:t>
      </w:r>
    </w:p>
    <w:p w14:paraId="0DF1D749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razvija i održava sustav upravljanja kvalitetom, u skladu sa zahtjevima norme i ciljevima kvalitete,</w:t>
      </w:r>
    </w:p>
    <w:p w14:paraId="11DCCCC9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obavlja poslove po propisima o pravu na pristup informacijama,</w:t>
      </w:r>
    </w:p>
    <w:p w14:paraId="5EA8F683" w14:textId="77777777" w:rsidR="00454941" w:rsidRPr="00E55B2F" w:rsidRDefault="00454941" w:rsidP="00454941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druge poslove u skladu sa zakonom i podzakonskim propisima.</w:t>
      </w:r>
    </w:p>
    <w:p w14:paraId="1305E1F9" w14:textId="77777777" w:rsidR="00454941" w:rsidRPr="00E55B2F" w:rsidRDefault="00454941" w:rsidP="00454941">
      <w:pPr>
        <w:pStyle w:val="Odlomakpopisa"/>
        <w:rPr>
          <w:rFonts w:ascii="Times New Roman" w:hAnsi="Times New Roman"/>
        </w:rPr>
      </w:pPr>
    </w:p>
    <w:p w14:paraId="63BAD3E3" w14:textId="77777777" w:rsidR="00454941" w:rsidRPr="00E55B2F" w:rsidRDefault="00454941" w:rsidP="00454941">
      <w:pPr>
        <w:pStyle w:val="Odlomakpopisa"/>
        <w:rPr>
          <w:rFonts w:ascii="Times New Roman" w:hAnsi="Times New Roman"/>
        </w:rPr>
      </w:pPr>
    </w:p>
    <w:p w14:paraId="115FA1C8" w14:textId="77777777" w:rsidR="00454941" w:rsidRPr="00E55B2F" w:rsidRDefault="00454941" w:rsidP="00454941">
      <w:pPr>
        <w:pStyle w:val="Odlomakpopisa"/>
        <w:ind w:left="0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PRORAČUNSKI KORISNICI IZ DJELOKRUGA RADA:</w:t>
      </w:r>
    </w:p>
    <w:p w14:paraId="1CCE21DE" w14:textId="77777777" w:rsidR="00454941" w:rsidRPr="00E55B2F" w:rsidRDefault="00454941" w:rsidP="00454941">
      <w:pPr>
        <w:pStyle w:val="Odlomakpopisa"/>
        <w:ind w:left="0"/>
        <w:rPr>
          <w:rFonts w:ascii="Times New Roman" w:hAnsi="Times New Roman"/>
          <w:b/>
        </w:rPr>
      </w:pPr>
    </w:p>
    <w:p w14:paraId="2AF5FB92" w14:textId="77777777" w:rsidR="00454941" w:rsidRDefault="00454941" w:rsidP="00454941">
      <w:pPr>
        <w:pStyle w:val="Odlomakpopisa"/>
        <w:ind w:left="0"/>
        <w:rPr>
          <w:rFonts w:ascii="Times New Roman" w:hAnsi="Times New Roman"/>
        </w:rPr>
      </w:pPr>
      <w:r w:rsidRPr="00E55B2F">
        <w:rPr>
          <w:rFonts w:ascii="Times New Roman" w:hAnsi="Times New Roman"/>
        </w:rPr>
        <w:t>Upravni odjel za prostorno uređenje, gradnju, zaštitu okoliša i zaštitu prirode obuhvaća sljedeće proračunske korisnike:</w:t>
      </w:r>
    </w:p>
    <w:p w14:paraId="39C0D32D" w14:textId="77777777" w:rsidR="00454941" w:rsidRPr="00E55B2F" w:rsidRDefault="00454941" w:rsidP="00454941">
      <w:pPr>
        <w:pStyle w:val="Odlomakpopisa"/>
        <w:numPr>
          <w:ilvl w:val="0"/>
          <w:numId w:val="17"/>
        </w:numPr>
        <w:rPr>
          <w:rFonts w:ascii="Times New Roman" w:hAnsi="Times New Roman"/>
        </w:rPr>
      </w:pPr>
      <w:r w:rsidRPr="00E55B2F">
        <w:rPr>
          <w:rFonts w:ascii="Times New Roman" w:hAnsi="Times New Roman"/>
        </w:rPr>
        <w:t>Javna ustanova Zavod za prostorno uređenje Bjelovarsko-bilogorske županije</w:t>
      </w:r>
    </w:p>
    <w:p w14:paraId="35723599" w14:textId="77777777" w:rsidR="00454941" w:rsidRPr="00E55B2F" w:rsidRDefault="00454941" w:rsidP="00454941">
      <w:pPr>
        <w:pStyle w:val="Odlomakpopisa"/>
        <w:numPr>
          <w:ilvl w:val="0"/>
          <w:numId w:val="17"/>
        </w:numPr>
        <w:rPr>
          <w:rFonts w:ascii="Times New Roman" w:hAnsi="Times New Roman"/>
        </w:rPr>
      </w:pPr>
      <w:r w:rsidRPr="00E55B2F">
        <w:rPr>
          <w:rFonts w:ascii="Times New Roman" w:hAnsi="Times New Roman"/>
        </w:rPr>
        <w:t>Javna ustanova za upravljanje zaštićenim dijelovima prirode Bjelovarsko-bilogorske županije.</w:t>
      </w:r>
    </w:p>
    <w:p w14:paraId="797EF6A9" w14:textId="77777777" w:rsidR="00454941" w:rsidRDefault="00454941" w:rsidP="00454941">
      <w:pPr>
        <w:rPr>
          <w:rFonts w:ascii="Times New Roman" w:hAnsi="Times New Roman"/>
          <w:bCs/>
        </w:rPr>
      </w:pPr>
    </w:p>
    <w:p w14:paraId="16C9A78F" w14:textId="6C8076C4" w:rsidR="00454941" w:rsidRDefault="00454941" w:rsidP="00454941">
      <w:pPr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IZVRŠENJE FINANCIJSKOG PLANA ZA 202</w:t>
      </w:r>
      <w:r w:rsidR="00CB4881">
        <w:rPr>
          <w:rFonts w:ascii="Times New Roman" w:hAnsi="Times New Roman"/>
          <w:b/>
        </w:rPr>
        <w:t>4</w:t>
      </w:r>
      <w:r w:rsidRPr="00E55B2F">
        <w:rPr>
          <w:rFonts w:ascii="Times New Roman" w:hAnsi="Times New Roman"/>
          <w:b/>
        </w:rPr>
        <w:t>. GODINU:</w:t>
      </w:r>
    </w:p>
    <w:p w14:paraId="512DDDA8" w14:textId="77777777" w:rsidR="00A021E7" w:rsidRPr="00E55B2F" w:rsidRDefault="00A021E7" w:rsidP="00454941">
      <w:pPr>
        <w:rPr>
          <w:rFonts w:ascii="Times New Roman" w:hAnsi="Times New Roman"/>
          <w:b/>
        </w:rPr>
      </w:pPr>
    </w:p>
    <w:tbl>
      <w:tblPr>
        <w:tblStyle w:val="Reetkatablice"/>
        <w:tblW w:w="9776" w:type="dxa"/>
        <w:tblInd w:w="0" w:type="dxa"/>
        <w:tblLook w:val="04A0" w:firstRow="1" w:lastRow="0" w:firstColumn="1" w:lastColumn="0" w:noHBand="0" w:noVBand="1"/>
      </w:tblPr>
      <w:tblGrid>
        <w:gridCol w:w="750"/>
        <w:gridCol w:w="3001"/>
        <w:gridCol w:w="1506"/>
        <w:gridCol w:w="1506"/>
        <w:gridCol w:w="1506"/>
        <w:gridCol w:w="1507"/>
      </w:tblGrid>
      <w:tr w:rsidR="005F1E5A" w:rsidRPr="00E55B2F" w14:paraId="405CF1A9" w14:textId="77777777" w:rsidTr="005F1E5A">
        <w:trPr>
          <w:trHeight w:val="18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679D6586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1C4CAA50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Naziv programa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442E705E" w14:textId="63325E30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Rebalans </w:t>
            </w:r>
            <w:r w:rsidRPr="00E55B2F">
              <w:rPr>
                <w:rFonts w:ascii="Times New Roman" w:hAnsi="Times New Roman" w:cs="Times New Roman"/>
                <w:b/>
              </w:rPr>
              <w:t>202</w:t>
            </w:r>
            <w:r w:rsidR="00A401E2"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4998D8E" w14:textId="22B91703" w:rsidR="005F1E5A" w:rsidRDefault="005F1E5A" w:rsidP="00E405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Tekući plan 202</w:t>
            </w:r>
            <w:r w:rsidR="00A401E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51D85E65" w14:textId="79FFEE1D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31.12.202</w:t>
            </w:r>
            <w:r w:rsidR="00A401E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74AA326A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F1E5A" w:rsidRPr="00E55B2F" w14:paraId="79FF81B3" w14:textId="77777777" w:rsidTr="005F1E5A">
        <w:trPr>
          <w:trHeight w:val="50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C2A0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52FD" w14:textId="77777777" w:rsidR="005F1E5A" w:rsidRPr="00E55B2F" w:rsidRDefault="005F1E5A" w:rsidP="00E40577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Redovne djelatnosti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65BE" w14:textId="5696E5A9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178.217</w:t>
            </w:r>
            <w:r w:rsidR="005F1E5A" w:rsidRPr="00A401E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57B" w14:textId="1BFE1FE6" w:rsidR="005F1E5A" w:rsidRPr="00A401E2" w:rsidRDefault="00A401E2" w:rsidP="005F1E5A">
            <w:pPr>
              <w:jc w:val="right"/>
              <w:rPr>
                <w:rFonts w:ascii="Times New Roman" w:hAnsi="Times New Roman"/>
                <w:b/>
              </w:rPr>
            </w:pPr>
            <w:r w:rsidRPr="00A401E2">
              <w:rPr>
                <w:rFonts w:ascii="Times New Roman" w:hAnsi="Times New Roman"/>
                <w:b/>
              </w:rPr>
              <w:t>178.217,00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B704" w14:textId="3F46CB3E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172.081,39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CB14" w14:textId="55278F1B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96,56</w:t>
            </w:r>
          </w:p>
        </w:tc>
      </w:tr>
      <w:tr w:rsidR="005F1E5A" w:rsidRPr="00E55B2F" w14:paraId="396F4785" w14:textId="77777777" w:rsidTr="005F1E5A">
        <w:trPr>
          <w:trHeight w:val="50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9C26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3BD8" w14:textId="77777777" w:rsidR="005F1E5A" w:rsidRPr="00E55B2F" w:rsidRDefault="005F1E5A" w:rsidP="00E40577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 xml:space="preserve">Redovna djelatnost JU Zavoda za prostorno uređenje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7F5F" w14:textId="4EFB0B20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304</w:t>
            </w:r>
            <w:r w:rsidR="005F1E5A" w:rsidRPr="00A401E2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384D" w14:textId="48335F5D" w:rsidR="005F1E5A" w:rsidRPr="00A401E2" w:rsidRDefault="00A401E2" w:rsidP="005F1E5A">
            <w:pPr>
              <w:jc w:val="right"/>
              <w:rPr>
                <w:rFonts w:ascii="Times New Roman" w:hAnsi="Times New Roman"/>
                <w:b/>
              </w:rPr>
            </w:pPr>
            <w:r w:rsidRPr="00A401E2">
              <w:rPr>
                <w:rFonts w:ascii="Times New Roman" w:hAnsi="Times New Roman"/>
                <w:b/>
              </w:rPr>
              <w:t>304</w:t>
            </w:r>
            <w:r w:rsidR="005F1E5A" w:rsidRPr="00A401E2">
              <w:rPr>
                <w:rFonts w:ascii="Times New Roman" w:hAnsi="Times New Roman"/>
                <w:b/>
              </w:rPr>
              <w:t>.000,00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C52E" w14:textId="5462606D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233.978,69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3C12" w14:textId="4433537D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76,97</w:t>
            </w:r>
          </w:p>
        </w:tc>
      </w:tr>
      <w:tr w:rsidR="005F1E5A" w:rsidRPr="00E55B2F" w14:paraId="099E3473" w14:textId="77777777" w:rsidTr="005F1E5A">
        <w:trPr>
          <w:trHeight w:val="50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9001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E55B2F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7CA3" w14:textId="77777777" w:rsidR="005F1E5A" w:rsidRPr="00E55B2F" w:rsidRDefault="005F1E5A" w:rsidP="00E40577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 xml:space="preserve">Redovna djelatnost JU za upravljanje zaštićenim prirodnim vrijednostima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3FDF" w14:textId="1BF9DD24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195.767,00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32DD" w14:textId="2F977F73" w:rsidR="005F1E5A" w:rsidRPr="00A401E2" w:rsidRDefault="00A401E2" w:rsidP="005F1E5A">
            <w:pPr>
              <w:jc w:val="right"/>
              <w:rPr>
                <w:rFonts w:ascii="Times New Roman" w:hAnsi="Times New Roman"/>
                <w:b/>
              </w:rPr>
            </w:pPr>
            <w:r w:rsidRPr="00A401E2">
              <w:rPr>
                <w:rFonts w:ascii="Times New Roman" w:hAnsi="Times New Roman"/>
                <w:b/>
              </w:rPr>
              <w:t>195.767</w:t>
            </w:r>
            <w:r w:rsidR="005F1E5A" w:rsidRPr="00A401E2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3501" w14:textId="2E7C3BB1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151.230,50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56B5" w14:textId="00A81F62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77,25</w:t>
            </w:r>
          </w:p>
        </w:tc>
      </w:tr>
      <w:tr w:rsidR="005F1E5A" w:rsidRPr="00E55B2F" w14:paraId="4A80462E" w14:textId="77777777" w:rsidTr="005F1E5A">
        <w:trPr>
          <w:trHeight w:val="50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D953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0BD0" w14:textId="77777777" w:rsidR="005F1E5A" w:rsidRPr="00E55B2F" w:rsidRDefault="005F1E5A" w:rsidP="00E40577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 xml:space="preserve">Zaštita okoliša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E90E" w14:textId="63DDB96B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110.558</w:t>
            </w:r>
            <w:r w:rsidR="005F1E5A" w:rsidRPr="00A401E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844C" w14:textId="0AFDB509" w:rsidR="005F1E5A" w:rsidRPr="00A401E2" w:rsidRDefault="00A401E2" w:rsidP="005F1E5A">
            <w:pPr>
              <w:jc w:val="right"/>
              <w:rPr>
                <w:rFonts w:ascii="Times New Roman" w:hAnsi="Times New Roman"/>
                <w:b/>
              </w:rPr>
            </w:pPr>
            <w:r w:rsidRPr="00A401E2">
              <w:rPr>
                <w:rFonts w:ascii="Times New Roman" w:hAnsi="Times New Roman"/>
                <w:b/>
              </w:rPr>
              <w:t>110.558</w:t>
            </w:r>
            <w:r w:rsidR="005F1E5A" w:rsidRPr="00A401E2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12A6" w14:textId="6643B13F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65.975</w:t>
            </w:r>
            <w:r w:rsidR="001D3281" w:rsidRPr="00A401E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6F99" w14:textId="3EE2954F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59,67</w:t>
            </w:r>
          </w:p>
        </w:tc>
      </w:tr>
      <w:tr w:rsidR="005F1E5A" w:rsidRPr="00E55B2F" w14:paraId="3770E7AA" w14:textId="77777777" w:rsidTr="005F1E5A">
        <w:trPr>
          <w:trHeight w:val="50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2775" w14:textId="77777777" w:rsidR="005F1E5A" w:rsidRPr="00E55B2F" w:rsidRDefault="005F1E5A" w:rsidP="00E405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77B0" w14:textId="77777777" w:rsidR="005F1E5A" w:rsidRPr="00E55B2F" w:rsidRDefault="005F1E5A" w:rsidP="00E40577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8004" w14:textId="27E3E3B4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788.542,</w:t>
            </w:r>
            <w:r w:rsidR="00DB495D" w:rsidRPr="00A401E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F491" w14:textId="584B4838" w:rsidR="005F1E5A" w:rsidRPr="00A401E2" w:rsidRDefault="00A401E2" w:rsidP="005F1E5A">
            <w:pPr>
              <w:jc w:val="right"/>
              <w:rPr>
                <w:rFonts w:ascii="Times New Roman" w:hAnsi="Times New Roman"/>
                <w:b/>
              </w:rPr>
            </w:pPr>
            <w:r w:rsidRPr="00A401E2">
              <w:rPr>
                <w:rFonts w:ascii="Times New Roman" w:hAnsi="Times New Roman"/>
                <w:b/>
              </w:rPr>
              <w:t>788.542</w:t>
            </w:r>
            <w:r w:rsidR="00DB495D" w:rsidRPr="00A401E2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33B7" w14:textId="5167DF70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623.265,58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F9E6" w14:textId="090428FC" w:rsidR="005F1E5A" w:rsidRPr="00A401E2" w:rsidRDefault="00A401E2" w:rsidP="005F1E5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01E2">
              <w:rPr>
                <w:rFonts w:ascii="Times New Roman" w:hAnsi="Times New Roman" w:cs="Times New Roman"/>
                <w:b/>
              </w:rPr>
              <w:t>79,04</w:t>
            </w:r>
          </w:p>
        </w:tc>
      </w:tr>
    </w:tbl>
    <w:p w14:paraId="017428F2" w14:textId="77777777" w:rsidR="00A021E7" w:rsidRDefault="00A021E7" w:rsidP="00647CBD">
      <w:pPr>
        <w:rPr>
          <w:rFonts w:ascii="Times New Roman" w:hAnsi="Times New Roman"/>
          <w:b/>
          <w:i/>
          <w:szCs w:val="24"/>
          <w:lang w:val="hr-HR"/>
        </w:rPr>
      </w:pPr>
    </w:p>
    <w:p w14:paraId="60538AA1" w14:textId="77777777" w:rsidR="00A021E7" w:rsidRDefault="00A021E7" w:rsidP="00647CBD">
      <w:pPr>
        <w:rPr>
          <w:rFonts w:ascii="Times New Roman" w:hAnsi="Times New Roman"/>
          <w:b/>
          <w:i/>
          <w:szCs w:val="24"/>
          <w:lang w:val="hr-HR"/>
        </w:rPr>
      </w:pPr>
    </w:p>
    <w:p w14:paraId="7FFA1D99" w14:textId="77777777" w:rsidR="00640BB6" w:rsidRDefault="00640BB6" w:rsidP="00640BB6">
      <w:pPr>
        <w:rPr>
          <w:rFonts w:ascii="Times New Roman" w:hAnsi="Times New Roman"/>
          <w:b/>
          <w:i/>
          <w:szCs w:val="24"/>
        </w:rPr>
      </w:pPr>
      <w:bookmarkStart w:id="1" w:name="_Hlk100136901"/>
      <w:r w:rsidRPr="00096F2A">
        <w:rPr>
          <w:rFonts w:ascii="Times New Roman" w:hAnsi="Times New Roman"/>
          <w:b/>
          <w:i/>
          <w:szCs w:val="24"/>
        </w:rPr>
        <w:t xml:space="preserve">Glava: 00501 </w:t>
      </w:r>
      <w:bookmarkEnd w:id="1"/>
      <w:r w:rsidRPr="00096F2A">
        <w:rPr>
          <w:rFonts w:ascii="Times New Roman" w:hAnsi="Times New Roman"/>
          <w:b/>
          <w:i/>
          <w:szCs w:val="24"/>
        </w:rPr>
        <w:t>Prostorno uređenje i gradnja</w:t>
      </w:r>
    </w:p>
    <w:p w14:paraId="394E7D74" w14:textId="77777777" w:rsidR="00640BB6" w:rsidRPr="00096F2A" w:rsidRDefault="00640BB6" w:rsidP="00640BB6">
      <w:pPr>
        <w:rPr>
          <w:rFonts w:ascii="Times New Roman" w:hAnsi="Times New Roman"/>
          <w:b/>
          <w:i/>
          <w:szCs w:val="24"/>
        </w:rPr>
      </w:pPr>
    </w:p>
    <w:p w14:paraId="132FA32F" w14:textId="77777777" w:rsidR="00640BB6" w:rsidRPr="00640BB6" w:rsidRDefault="00640BB6" w:rsidP="00640BB6">
      <w:pPr>
        <w:rPr>
          <w:rFonts w:ascii="Times New Roman" w:hAnsi="Times New Roman"/>
          <w:i/>
          <w:caps/>
          <w:szCs w:val="24"/>
        </w:rPr>
      </w:pPr>
      <w:r w:rsidRPr="00640BB6">
        <w:rPr>
          <w:rFonts w:ascii="Times New Roman" w:hAnsi="Times New Roman"/>
          <w:i/>
          <w:szCs w:val="24"/>
        </w:rPr>
        <w:t xml:space="preserve">NAZIV PROGRAMA: </w:t>
      </w:r>
      <w:bookmarkStart w:id="2" w:name="_Hlk101259120"/>
      <w:r w:rsidRPr="00640BB6">
        <w:rPr>
          <w:rFonts w:ascii="Times New Roman" w:hAnsi="Times New Roman"/>
          <w:i/>
          <w:szCs w:val="24"/>
        </w:rPr>
        <w:t xml:space="preserve">1000 </w:t>
      </w:r>
      <w:r w:rsidRPr="00640BB6">
        <w:rPr>
          <w:rFonts w:ascii="Times New Roman" w:hAnsi="Times New Roman"/>
          <w:i/>
          <w:caps/>
          <w:szCs w:val="24"/>
        </w:rPr>
        <w:t>Redovne djelatnosti</w:t>
      </w:r>
      <w:bookmarkEnd w:id="2"/>
    </w:p>
    <w:p w14:paraId="259405F6" w14:textId="77777777" w:rsidR="00640BB6" w:rsidRPr="00301381" w:rsidRDefault="00640BB6" w:rsidP="00640BB6">
      <w:pPr>
        <w:rPr>
          <w:rFonts w:ascii="Times New Roman" w:hAnsi="Times New Roman"/>
          <w:b/>
          <w:szCs w:val="24"/>
        </w:rPr>
      </w:pPr>
    </w:p>
    <w:p w14:paraId="3AB57793" w14:textId="77777777" w:rsidR="00640BB6" w:rsidRPr="00E55B2F" w:rsidRDefault="00640BB6" w:rsidP="00640BB6">
      <w:pPr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OPIS PROGRAMA:</w:t>
      </w:r>
    </w:p>
    <w:p w14:paraId="5EB907A2" w14:textId="77777777" w:rsidR="00640BB6" w:rsidRPr="00E55B2F" w:rsidRDefault="00640BB6" w:rsidP="00640BB6">
      <w:p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 xml:space="preserve">Programom </w:t>
      </w:r>
      <w:r w:rsidRPr="00E55B2F">
        <w:rPr>
          <w:rFonts w:ascii="Times New Roman" w:hAnsi="Times New Roman"/>
          <w:i/>
        </w:rPr>
        <w:t>Redovne djelatnosti</w:t>
      </w:r>
      <w:r w:rsidRPr="00E55B2F">
        <w:rPr>
          <w:rFonts w:ascii="Times New Roman" w:hAnsi="Times New Roman"/>
        </w:rPr>
        <w:t xml:space="preserve"> osigurana su sredstva za obavljanje redovne djelatnosti </w:t>
      </w:r>
      <w:r w:rsidRPr="00E55B2F">
        <w:rPr>
          <w:rFonts w:ascii="Times New Roman" w:hAnsi="Times New Roman"/>
          <w:bCs/>
        </w:rPr>
        <w:t xml:space="preserve">Upravnog odjela za </w:t>
      </w:r>
      <w:r w:rsidRPr="00E55B2F">
        <w:rPr>
          <w:rFonts w:ascii="Times New Roman" w:hAnsi="Times New Roman"/>
        </w:rPr>
        <w:t xml:space="preserve">prostorno uređenje, gradnju, zaštitu okoliša i zaštitu prirode </w:t>
      </w:r>
      <w:r w:rsidRPr="00E55B2F">
        <w:rPr>
          <w:rFonts w:ascii="Times New Roman" w:hAnsi="Times New Roman"/>
          <w:bCs/>
        </w:rPr>
        <w:t>kroz sljedeće aktivnosti: rad stručnog povjerenstva, rad povjerenstva za procjenu nekretnina, geoinformacijsk</w:t>
      </w:r>
      <w:r>
        <w:rPr>
          <w:rFonts w:ascii="Times New Roman" w:hAnsi="Times New Roman"/>
          <w:bCs/>
        </w:rPr>
        <w:t>i</w:t>
      </w:r>
      <w:r w:rsidRPr="00E55B2F">
        <w:rPr>
          <w:rFonts w:ascii="Times New Roman" w:hAnsi="Times New Roman"/>
          <w:bCs/>
        </w:rPr>
        <w:t xml:space="preserve"> sustav, sufinanciranj</w:t>
      </w:r>
      <w:r>
        <w:rPr>
          <w:rFonts w:ascii="Times New Roman" w:hAnsi="Times New Roman"/>
          <w:bCs/>
        </w:rPr>
        <w:t>e</w:t>
      </w:r>
      <w:r w:rsidRPr="00E55B2F">
        <w:rPr>
          <w:rFonts w:ascii="Times New Roman" w:hAnsi="Times New Roman"/>
          <w:bCs/>
        </w:rPr>
        <w:t xml:space="preserve"> radova na obnovi termo ovojnice na zgradi HZMO-a</w:t>
      </w:r>
      <w:r>
        <w:rPr>
          <w:rFonts w:ascii="Times New Roman" w:hAnsi="Times New Roman"/>
          <w:bCs/>
        </w:rPr>
        <w:t>,</w:t>
      </w:r>
      <w:r w:rsidRPr="00E55B2F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sufinanciranje prostorno planske dokumentacije te sufinanciranje sanacije štete od elementarne nepogode</w:t>
      </w:r>
      <w:r w:rsidRPr="00E55B2F">
        <w:rPr>
          <w:rFonts w:ascii="Times New Roman" w:hAnsi="Times New Roman"/>
        </w:rPr>
        <w:t>.</w:t>
      </w:r>
    </w:p>
    <w:p w14:paraId="7B66CBC2" w14:textId="77777777" w:rsidR="0097565B" w:rsidRDefault="0097565B" w:rsidP="00647CBD">
      <w:pPr>
        <w:rPr>
          <w:rFonts w:ascii="Times New Roman" w:hAnsi="Times New Roman"/>
          <w:szCs w:val="24"/>
        </w:rPr>
      </w:pPr>
    </w:p>
    <w:p w14:paraId="31A3BF9F" w14:textId="77777777" w:rsidR="009019A2" w:rsidRDefault="009019A2" w:rsidP="00647CBD">
      <w:pPr>
        <w:rPr>
          <w:rFonts w:ascii="Times New Roman" w:hAnsi="Times New Roman"/>
          <w:b/>
          <w:szCs w:val="24"/>
        </w:rPr>
      </w:pPr>
    </w:p>
    <w:p w14:paraId="71FB1133" w14:textId="7358399D"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PROGRAMA S</w:t>
      </w:r>
      <w:r w:rsidR="00891880">
        <w:rPr>
          <w:rFonts w:ascii="Times New Roman" w:hAnsi="Times New Roman"/>
          <w:b/>
          <w:szCs w:val="24"/>
        </w:rPr>
        <w:t>A</w:t>
      </w:r>
      <w:r>
        <w:rPr>
          <w:rFonts w:ascii="Times New Roman" w:hAnsi="Times New Roman"/>
          <w:b/>
          <w:szCs w:val="24"/>
        </w:rPr>
        <w:t xml:space="preserve"> OSVRTOM NA CILJEVE KOJI SU OSTVARENI NJEGOVOM PROVEDBOM</w:t>
      </w:r>
    </w:p>
    <w:p w14:paraId="47CFB495" w14:textId="77777777" w:rsidR="00A82C6B" w:rsidRDefault="00A82C6B" w:rsidP="00647CBD">
      <w:pPr>
        <w:rPr>
          <w:rFonts w:ascii="Times New Roman" w:hAnsi="Times New Roman"/>
          <w:b/>
          <w:szCs w:val="24"/>
        </w:rPr>
      </w:pPr>
    </w:p>
    <w:p w14:paraId="064F9711" w14:textId="5381C887" w:rsidR="00A82C6B" w:rsidRPr="00A82C6B" w:rsidRDefault="00A82C6B" w:rsidP="00A82C6B">
      <w:pPr>
        <w:jc w:val="both"/>
        <w:rPr>
          <w:rFonts w:ascii="Times New Roman" w:hAnsi="Times New Roman"/>
          <w:szCs w:val="24"/>
          <w:lang w:val="hr-HR"/>
        </w:rPr>
      </w:pPr>
      <w:r w:rsidRPr="00A82C6B">
        <w:rPr>
          <w:rFonts w:ascii="Times New Roman" w:hAnsi="Times New Roman"/>
          <w:szCs w:val="24"/>
          <w:lang w:val="hr-HR"/>
        </w:rPr>
        <w:t xml:space="preserve">Upravni odjel za </w:t>
      </w:r>
      <w:r w:rsidR="00640BB6">
        <w:rPr>
          <w:rFonts w:ascii="Times New Roman" w:hAnsi="Times New Roman"/>
          <w:szCs w:val="24"/>
          <w:lang w:val="hr-HR"/>
        </w:rPr>
        <w:t>prostorno uređenje, gradnju, zaštitu okoliša i zaštitu prirode</w:t>
      </w:r>
      <w:r w:rsidRPr="00A82C6B">
        <w:rPr>
          <w:rFonts w:ascii="Times New Roman" w:hAnsi="Times New Roman"/>
          <w:szCs w:val="24"/>
          <w:lang w:val="hr-HR"/>
        </w:rPr>
        <w:t xml:space="preserve"> provodio je aktivnosti programa u skladu s planiranom dinamikom</w:t>
      </w:r>
      <w:r w:rsidR="00D333BC">
        <w:rPr>
          <w:rFonts w:ascii="Times New Roman" w:hAnsi="Times New Roman"/>
          <w:szCs w:val="24"/>
          <w:lang w:val="hr-HR"/>
        </w:rPr>
        <w:t>, odnosno planskim financijskim pozicijama i rokovima temeljenim na sklopljenim ugovorima</w:t>
      </w:r>
      <w:r w:rsidRPr="00A82C6B">
        <w:rPr>
          <w:rFonts w:ascii="Times New Roman" w:hAnsi="Times New Roman"/>
          <w:szCs w:val="24"/>
          <w:lang w:val="hr-HR"/>
        </w:rPr>
        <w:t>.</w:t>
      </w:r>
      <w:r w:rsidR="00BC6017">
        <w:rPr>
          <w:rFonts w:ascii="Times New Roman" w:hAnsi="Times New Roman"/>
          <w:szCs w:val="24"/>
          <w:lang w:val="hr-HR"/>
        </w:rPr>
        <w:t xml:space="preserve"> Izvršenjem ovog Programa ostvareni su ciljevi vezani uz kontinuirani rad stručnih povjerenstava, funkcioniranje </w:t>
      </w:r>
      <w:r w:rsidR="00CB4881">
        <w:rPr>
          <w:rFonts w:ascii="Times New Roman" w:hAnsi="Times New Roman"/>
          <w:szCs w:val="24"/>
          <w:lang w:val="hr-HR"/>
        </w:rPr>
        <w:t>g</w:t>
      </w:r>
      <w:r w:rsidR="00BC6017">
        <w:rPr>
          <w:rFonts w:ascii="Times New Roman" w:hAnsi="Times New Roman"/>
          <w:szCs w:val="24"/>
          <w:lang w:val="hr-HR"/>
        </w:rPr>
        <w:t>eoinformacijskog sustava, važnog za rad Upravnog odjela i Zavoda za prostorno uređenje te ostalih planiranih poslovnih procesa.</w:t>
      </w:r>
      <w:r w:rsidRPr="00A82C6B">
        <w:rPr>
          <w:rFonts w:ascii="Times New Roman" w:hAnsi="Times New Roman"/>
          <w:szCs w:val="24"/>
          <w:lang w:val="hr-HR"/>
        </w:rPr>
        <w:t xml:space="preserve"> </w:t>
      </w:r>
      <w:r w:rsidR="00D333BC">
        <w:rPr>
          <w:rFonts w:ascii="Times New Roman" w:hAnsi="Times New Roman"/>
          <w:szCs w:val="24"/>
          <w:lang w:val="hr-HR"/>
        </w:rPr>
        <w:t xml:space="preserve">Indeks izvršenja Programa </w:t>
      </w:r>
      <w:r w:rsidR="00D333BC" w:rsidRPr="00D333BC">
        <w:rPr>
          <w:rFonts w:ascii="Times New Roman" w:hAnsi="Times New Roman"/>
          <w:i/>
          <w:szCs w:val="24"/>
          <w:lang w:val="hr-HR"/>
        </w:rPr>
        <w:t>Redovne djelatnosti</w:t>
      </w:r>
      <w:r w:rsidR="00D333BC">
        <w:rPr>
          <w:rFonts w:ascii="Times New Roman" w:hAnsi="Times New Roman"/>
          <w:szCs w:val="24"/>
          <w:lang w:val="hr-HR"/>
        </w:rPr>
        <w:t xml:space="preserve"> iznosi </w:t>
      </w:r>
      <w:r w:rsidR="008A3D58">
        <w:rPr>
          <w:rFonts w:ascii="Times New Roman" w:hAnsi="Times New Roman"/>
          <w:szCs w:val="24"/>
          <w:lang w:val="hr-HR"/>
        </w:rPr>
        <w:t>96,56</w:t>
      </w:r>
      <w:r w:rsidR="00D333BC">
        <w:rPr>
          <w:rFonts w:ascii="Times New Roman" w:hAnsi="Times New Roman"/>
          <w:szCs w:val="24"/>
          <w:lang w:val="hr-HR"/>
        </w:rPr>
        <w:t>%.</w:t>
      </w:r>
    </w:p>
    <w:p w14:paraId="36631FF9" w14:textId="77777777" w:rsidR="00A82C6B" w:rsidRDefault="00A82C6B" w:rsidP="00A82C6B">
      <w:pPr>
        <w:jc w:val="both"/>
        <w:rPr>
          <w:rFonts w:ascii="Times New Roman" w:hAnsi="Times New Roman"/>
          <w:szCs w:val="24"/>
        </w:rPr>
      </w:pPr>
    </w:p>
    <w:p w14:paraId="13CE6129" w14:textId="77777777" w:rsidR="008D28DB" w:rsidRDefault="008D28DB" w:rsidP="00A82C6B">
      <w:pPr>
        <w:jc w:val="both"/>
        <w:rPr>
          <w:rFonts w:ascii="Times New Roman" w:hAnsi="Times New Roman"/>
          <w:szCs w:val="24"/>
        </w:rPr>
      </w:pPr>
    </w:p>
    <w:p w14:paraId="6F72233B" w14:textId="77777777" w:rsidR="008D28DB" w:rsidRDefault="008D28DB" w:rsidP="00A82C6B">
      <w:pPr>
        <w:jc w:val="both"/>
        <w:rPr>
          <w:rFonts w:ascii="Times New Roman" w:hAnsi="Times New Roman"/>
          <w:szCs w:val="24"/>
        </w:rPr>
      </w:pPr>
    </w:p>
    <w:p w14:paraId="08BE7743" w14:textId="77777777" w:rsidR="008D28DB" w:rsidRDefault="008D28DB" w:rsidP="008D28DB">
      <w:pPr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lastRenderedPageBreak/>
        <w:t xml:space="preserve">A000166 </w:t>
      </w:r>
      <w:r w:rsidRPr="007B6C7C">
        <w:rPr>
          <w:rFonts w:ascii="Times New Roman" w:hAnsi="Times New Roman"/>
          <w:b/>
        </w:rPr>
        <w:t xml:space="preserve">– </w:t>
      </w:r>
      <w:r w:rsidRPr="009D408A">
        <w:rPr>
          <w:rFonts w:ascii="Times New Roman" w:hAnsi="Times New Roman"/>
          <w:i/>
        </w:rPr>
        <w:t>Troškovi rada stručnog povjerenstva (Zakon o prostornom uređenju)</w:t>
      </w:r>
    </w:p>
    <w:p w14:paraId="0DF1FD51" w14:textId="79BCBB41" w:rsidR="008D28DB" w:rsidRDefault="008D28DB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aktivnost </w:t>
      </w:r>
      <w:r w:rsidRPr="009D408A">
        <w:rPr>
          <w:rFonts w:ascii="Times New Roman" w:hAnsi="Times New Roman"/>
          <w:i/>
        </w:rPr>
        <w:t>Troškovi rada stručnog povjerenstva (Zakon o prostornom uređenju)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planirano je 10.6</w:t>
      </w:r>
      <w:r w:rsidR="002332C8">
        <w:rPr>
          <w:rFonts w:ascii="Times New Roman" w:hAnsi="Times New Roman"/>
        </w:rPr>
        <w:t>00</w:t>
      </w:r>
      <w:r>
        <w:rPr>
          <w:rFonts w:ascii="Times New Roman" w:hAnsi="Times New Roman"/>
        </w:rPr>
        <w:t xml:space="preserve">,00 €, a ostvareno je </w:t>
      </w:r>
      <w:r w:rsidR="002332C8">
        <w:rPr>
          <w:rFonts w:ascii="Times New Roman" w:hAnsi="Times New Roman"/>
        </w:rPr>
        <w:t>9.798,25</w:t>
      </w:r>
      <w:r>
        <w:rPr>
          <w:rFonts w:ascii="Times New Roman" w:hAnsi="Times New Roman"/>
        </w:rPr>
        <w:t xml:space="preserve"> €, odnosno </w:t>
      </w:r>
      <w:r w:rsidR="002332C8">
        <w:rPr>
          <w:rFonts w:ascii="Times New Roman" w:hAnsi="Times New Roman"/>
        </w:rPr>
        <w:t>92,44</w:t>
      </w:r>
      <w:r>
        <w:rPr>
          <w:rFonts w:ascii="Times New Roman" w:hAnsi="Times New Roman"/>
        </w:rPr>
        <w:t xml:space="preserve">%. </w:t>
      </w:r>
      <w:r w:rsidRPr="009D408A">
        <w:rPr>
          <w:rFonts w:ascii="Times New Roman" w:hAnsi="Times New Roman"/>
        </w:rPr>
        <w:t>Investitori</w:t>
      </w:r>
      <w:r>
        <w:rPr>
          <w:rFonts w:ascii="Times New Roman" w:hAnsi="Times New Roman"/>
        </w:rPr>
        <w:t xml:space="preserve"> </w:t>
      </w:r>
      <w:r w:rsidRPr="009D408A">
        <w:rPr>
          <w:rFonts w:ascii="Times New Roman" w:hAnsi="Times New Roman"/>
        </w:rPr>
        <w:t>(pravne osobe i fizičke osobe) u punom iznosu uplaćuju sredstva na transakcijski</w:t>
      </w:r>
      <w:r>
        <w:rPr>
          <w:rFonts w:ascii="Times New Roman" w:hAnsi="Times New Roman"/>
        </w:rPr>
        <w:t xml:space="preserve"> </w:t>
      </w:r>
      <w:r w:rsidRPr="009D408A">
        <w:rPr>
          <w:rFonts w:ascii="Times New Roman" w:hAnsi="Times New Roman"/>
        </w:rPr>
        <w:t>račun Županije temeljem zaključka ovog</w:t>
      </w:r>
      <w:r w:rsidR="00246371">
        <w:rPr>
          <w:rFonts w:ascii="Times New Roman" w:hAnsi="Times New Roman"/>
        </w:rPr>
        <w:t xml:space="preserve"> Upravnog</w:t>
      </w:r>
      <w:r w:rsidRPr="009D408A">
        <w:rPr>
          <w:rFonts w:ascii="Times New Roman" w:hAnsi="Times New Roman"/>
        </w:rPr>
        <w:t xml:space="preserve"> odjela </w:t>
      </w:r>
      <w:r w:rsidR="002332C8">
        <w:rPr>
          <w:rFonts w:ascii="Times New Roman" w:hAnsi="Times New Roman"/>
        </w:rPr>
        <w:t xml:space="preserve">te se </w:t>
      </w:r>
      <w:r w:rsidRPr="009D408A">
        <w:rPr>
          <w:rFonts w:ascii="Times New Roman" w:hAnsi="Times New Roman"/>
        </w:rPr>
        <w:t>ista</w:t>
      </w:r>
      <w:r>
        <w:rPr>
          <w:rFonts w:ascii="Times New Roman" w:hAnsi="Times New Roman"/>
        </w:rPr>
        <w:t xml:space="preserve"> koriste</w:t>
      </w:r>
      <w:r w:rsidRPr="009D408A">
        <w:rPr>
          <w:rFonts w:ascii="Times New Roman" w:hAnsi="Times New Roman"/>
        </w:rPr>
        <w:t xml:space="preserve"> za pokriće naknada Povjerenstva za</w:t>
      </w:r>
      <w:r>
        <w:rPr>
          <w:rFonts w:ascii="Times New Roman" w:hAnsi="Times New Roman"/>
        </w:rPr>
        <w:t xml:space="preserve"> </w:t>
      </w:r>
      <w:r w:rsidRPr="009D408A">
        <w:rPr>
          <w:rFonts w:ascii="Times New Roman" w:hAnsi="Times New Roman"/>
        </w:rPr>
        <w:t>tehnički pregled.</w:t>
      </w:r>
      <w:r w:rsidR="008633DA">
        <w:rPr>
          <w:rFonts w:ascii="Times New Roman" w:hAnsi="Times New Roman"/>
        </w:rPr>
        <w:t xml:space="preserve"> U 2024. godini izvršeno je 20 tehničkih pregleda.</w:t>
      </w:r>
      <w:r w:rsidRPr="009D408A">
        <w:rPr>
          <w:rFonts w:ascii="Times New Roman" w:hAnsi="Times New Roman"/>
        </w:rPr>
        <w:t xml:space="preserve"> </w:t>
      </w:r>
    </w:p>
    <w:p w14:paraId="178FB3D7" w14:textId="77777777" w:rsidR="008D28DB" w:rsidRPr="00E55B2F" w:rsidRDefault="008D28DB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6"/>
        <w:gridCol w:w="2174"/>
        <w:gridCol w:w="2329"/>
      </w:tblGrid>
      <w:tr w:rsidR="008D28DB" w:rsidRPr="00E55B2F" w14:paraId="4C102DEC" w14:textId="77777777" w:rsidTr="008D28DB">
        <w:trPr>
          <w:trHeight w:val="322"/>
        </w:trPr>
        <w:tc>
          <w:tcPr>
            <w:tcW w:w="2560" w:type="dxa"/>
            <w:shd w:val="clear" w:color="auto" w:fill="B5C0D8"/>
          </w:tcPr>
          <w:p w14:paraId="7EF30768" w14:textId="31853F36" w:rsidR="008D28DB" w:rsidRPr="00CD027A" w:rsidRDefault="008D28DB" w:rsidP="008D28DB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3" w:name="_Hlk100130731"/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332C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4C702BD9" w14:textId="78605500" w:rsidR="008D28DB" w:rsidRPr="00CD027A" w:rsidRDefault="008D28DB" w:rsidP="008D28DB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332C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064F0278" w14:textId="39C984EA" w:rsidR="008D28DB" w:rsidRPr="00CD027A" w:rsidRDefault="008D28DB" w:rsidP="008D28DB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8633D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29" w:type="dxa"/>
            <w:shd w:val="clear" w:color="auto" w:fill="B5C0D8"/>
          </w:tcPr>
          <w:p w14:paraId="201E78E2" w14:textId="77777777" w:rsidR="008D28DB" w:rsidRPr="00CD027A" w:rsidRDefault="008D28DB" w:rsidP="008D28DB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8D28DB" w:rsidRPr="00E55B2F" w14:paraId="649E4B98" w14:textId="77777777" w:rsidTr="008D28DB">
        <w:trPr>
          <w:trHeight w:val="310"/>
        </w:trPr>
        <w:tc>
          <w:tcPr>
            <w:tcW w:w="2560" w:type="dxa"/>
            <w:shd w:val="clear" w:color="auto" w:fill="auto"/>
            <w:vAlign w:val="center"/>
          </w:tcPr>
          <w:p w14:paraId="23BE9CF0" w14:textId="3EBEC4A9" w:rsidR="008D28DB" w:rsidRPr="00E55B2F" w:rsidRDefault="008D28D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</w:t>
            </w:r>
            <w:r w:rsidR="002332C8">
              <w:rPr>
                <w:rFonts w:ascii="Times New Roman" w:hAnsi="Times New Roman"/>
              </w:rPr>
              <w:t>00</w:t>
            </w:r>
            <w:r w:rsidRPr="00E55B2F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629773BC" w14:textId="3B7E339E" w:rsidR="008D28DB" w:rsidRPr="00E55B2F" w:rsidRDefault="008D28D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</w:t>
            </w:r>
            <w:r w:rsidR="002332C8">
              <w:rPr>
                <w:rFonts w:ascii="Times New Roman" w:hAnsi="Times New Roman"/>
              </w:rPr>
              <w:t>00</w:t>
            </w:r>
            <w:r w:rsidRPr="00E55B2F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673FD740" w14:textId="26059D9F" w:rsidR="008D28DB" w:rsidRDefault="008D28D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633DA">
              <w:rPr>
                <w:rFonts w:ascii="Times New Roman" w:hAnsi="Times New Roman"/>
              </w:rPr>
              <w:t>.798,25</w:t>
            </w:r>
          </w:p>
        </w:tc>
        <w:tc>
          <w:tcPr>
            <w:tcW w:w="2329" w:type="dxa"/>
            <w:shd w:val="clear" w:color="auto" w:fill="auto"/>
            <w:vAlign w:val="center"/>
          </w:tcPr>
          <w:p w14:paraId="173197EE" w14:textId="4DB1D449" w:rsidR="008D28DB" w:rsidRPr="00E55B2F" w:rsidRDefault="008633DA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92,44</w:t>
            </w:r>
          </w:p>
        </w:tc>
      </w:tr>
      <w:bookmarkEnd w:id="3"/>
    </w:tbl>
    <w:p w14:paraId="27C6E0A9" w14:textId="77777777" w:rsidR="008D28DB" w:rsidRPr="00E55B2F" w:rsidRDefault="008D28DB" w:rsidP="008D28DB">
      <w:pPr>
        <w:spacing w:line="360" w:lineRule="auto"/>
      </w:pPr>
    </w:p>
    <w:p w14:paraId="13A57017" w14:textId="77777777" w:rsidR="008D28DB" w:rsidRPr="00E55B2F" w:rsidRDefault="008D28DB" w:rsidP="008D28DB">
      <w:pPr>
        <w:jc w:val="both"/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 xml:space="preserve">A000304 – </w:t>
      </w:r>
      <w:r w:rsidRPr="009D408A">
        <w:rPr>
          <w:rFonts w:ascii="Times New Roman" w:hAnsi="Times New Roman"/>
          <w:i/>
        </w:rPr>
        <w:t>Povjerenstvo za procjenu nekretnina</w:t>
      </w:r>
    </w:p>
    <w:p w14:paraId="4CC9DAC7" w14:textId="0C504DBF" w:rsidR="008D28DB" w:rsidRDefault="00AA0985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rad Povjerenstva za procjenu nekretnina planirano je </w:t>
      </w:r>
      <w:r w:rsidR="008633DA">
        <w:rPr>
          <w:rFonts w:ascii="Times New Roman" w:hAnsi="Times New Roman"/>
        </w:rPr>
        <w:t>10.017,</w:t>
      </w:r>
      <w:r>
        <w:rPr>
          <w:rFonts w:ascii="Times New Roman" w:hAnsi="Times New Roman"/>
        </w:rPr>
        <w:t xml:space="preserve">00 €, od čega je </w:t>
      </w:r>
      <w:r w:rsidR="008633DA">
        <w:rPr>
          <w:rFonts w:ascii="Times New Roman" w:hAnsi="Times New Roman"/>
        </w:rPr>
        <w:t>utrošeno</w:t>
      </w:r>
      <w:r>
        <w:rPr>
          <w:rFonts w:ascii="Times New Roman" w:hAnsi="Times New Roman"/>
        </w:rPr>
        <w:t xml:space="preserve"> </w:t>
      </w:r>
      <w:r w:rsidR="008633DA">
        <w:rPr>
          <w:rFonts w:ascii="Times New Roman" w:hAnsi="Times New Roman"/>
        </w:rPr>
        <w:t>9.160,35</w:t>
      </w:r>
      <w:r>
        <w:rPr>
          <w:rFonts w:ascii="Times New Roman" w:hAnsi="Times New Roman"/>
        </w:rPr>
        <w:t xml:space="preserve"> € ili 91,</w:t>
      </w:r>
      <w:r w:rsidR="008633DA">
        <w:rPr>
          <w:rFonts w:ascii="Times New Roman" w:hAnsi="Times New Roman"/>
        </w:rPr>
        <w:t>45</w:t>
      </w:r>
      <w:r>
        <w:rPr>
          <w:rFonts w:ascii="Times New Roman" w:hAnsi="Times New Roman"/>
        </w:rPr>
        <w:t xml:space="preserve">%. </w:t>
      </w:r>
      <w:r w:rsidR="008D28DB" w:rsidRPr="00E55B2F">
        <w:rPr>
          <w:rFonts w:ascii="Times New Roman" w:hAnsi="Times New Roman"/>
        </w:rPr>
        <w:t>Sukladno Zakonu o procjeni nekretnina članovima Povjerenstva koji nisu iz redova Bjelovarsko-bilogorske županije i Porezne uprave pripada naknada po odluci Župana u vrijednosti</w:t>
      </w:r>
      <w:r w:rsidR="008D28DB">
        <w:rPr>
          <w:rFonts w:ascii="Times New Roman" w:hAnsi="Times New Roman"/>
        </w:rPr>
        <w:t xml:space="preserve"> 66</w:t>
      </w:r>
      <w:r w:rsidR="008D28DB" w:rsidRPr="00E55B2F">
        <w:rPr>
          <w:rFonts w:ascii="Times New Roman" w:hAnsi="Times New Roman"/>
        </w:rPr>
        <w:t>,00</w:t>
      </w:r>
      <w:r w:rsidR="008D28DB">
        <w:rPr>
          <w:rFonts w:ascii="Times New Roman" w:hAnsi="Times New Roman"/>
        </w:rPr>
        <w:t xml:space="preserve"> €</w:t>
      </w:r>
      <w:r w:rsidR="008D28DB" w:rsidRPr="00E55B2F">
        <w:rPr>
          <w:rFonts w:ascii="Times New Roman" w:hAnsi="Times New Roman"/>
        </w:rPr>
        <w:t xml:space="preserve"> neto po održanoj sjednici.</w:t>
      </w:r>
      <w:r w:rsidR="008D28DB">
        <w:rPr>
          <w:rFonts w:ascii="Times New Roman" w:hAnsi="Times New Roman"/>
        </w:rPr>
        <w:t xml:space="preserve"> </w:t>
      </w:r>
      <w:r w:rsidR="003004A7">
        <w:rPr>
          <w:rFonts w:ascii="Times New Roman" w:hAnsi="Times New Roman"/>
        </w:rPr>
        <w:t>U 202</w:t>
      </w:r>
      <w:r w:rsidR="008633DA">
        <w:rPr>
          <w:rFonts w:ascii="Times New Roman" w:hAnsi="Times New Roman"/>
        </w:rPr>
        <w:t>4</w:t>
      </w:r>
      <w:r w:rsidR="003004A7">
        <w:rPr>
          <w:rFonts w:ascii="Times New Roman" w:hAnsi="Times New Roman"/>
        </w:rPr>
        <w:t>. godini</w:t>
      </w:r>
      <w:r w:rsidR="008D28DB" w:rsidRPr="009D408A">
        <w:rPr>
          <w:rFonts w:ascii="Times New Roman" w:hAnsi="Times New Roman"/>
        </w:rPr>
        <w:t xml:space="preserve"> održavan</w:t>
      </w:r>
      <w:r w:rsidR="003004A7">
        <w:rPr>
          <w:rFonts w:ascii="Times New Roman" w:hAnsi="Times New Roman"/>
        </w:rPr>
        <w:t xml:space="preserve">o je </w:t>
      </w:r>
      <w:r w:rsidR="003702BB">
        <w:rPr>
          <w:rFonts w:ascii="Times New Roman" w:hAnsi="Times New Roman"/>
        </w:rPr>
        <w:t>9</w:t>
      </w:r>
      <w:r w:rsidR="008D28DB" w:rsidRPr="009D408A">
        <w:rPr>
          <w:rFonts w:ascii="Times New Roman" w:hAnsi="Times New Roman"/>
        </w:rPr>
        <w:t xml:space="preserve"> sjednic</w:t>
      </w:r>
      <w:r w:rsidR="003004A7">
        <w:rPr>
          <w:rFonts w:ascii="Times New Roman" w:hAnsi="Times New Roman"/>
        </w:rPr>
        <w:t>a</w:t>
      </w:r>
      <w:r w:rsidR="008D28DB" w:rsidRPr="009D408A">
        <w:rPr>
          <w:rFonts w:ascii="Times New Roman" w:hAnsi="Times New Roman"/>
        </w:rPr>
        <w:t xml:space="preserve"> Povjerenstva na kojima su usvojeni elaborati o tržišnoj</w:t>
      </w:r>
      <w:r w:rsidR="008D28DB">
        <w:rPr>
          <w:rFonts w:ascii="Times New Roman" w:hAnsi="Times New Roman"/>
        </w:rPr>
        <w:t xml:space="preserve"> </w:t>
      </w:r>
      <w:r w:rsidR="008D28DB" w:rsidRPr="009D408A">
        <w:rPr>
          <w:rFonts w:ascii="Times New Roman" w:hAnsi="Times New Roman"/>
        </w:rPr>
        <w:t xml:space="preserve">vrijednosti nekretnina. </w:t>
      </w:r>
    </w:p>
    <w:p w14:paraId="76DAD583" w14:textId="77777777" w:rsidR="008D28DB" w:rsidRDefault="008D28DB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2"/>
      </w:tblGrid>
      <w:tr w:rsidR="008D28DB" w:rsidRPr="00E55B2F" w14:paraId="3B94D472" w14:textId="77777777" w:rsidTr="008D28DB">
        <w:trPr>
          <w:trHeight w:val="322"/>
        </w:trPr>
        <w:tc>
          <w:tcPr>
            <w:tcW w:w="2559" w:type="dxa"/>
            <w:shd w:val="clear" w:color="auto" w:fill="B5C0D8"/>
          </w:tcPr>
          <w:p w14:paraId="443DFEE5" w14:textId="00D7FF42" w:rsidR="008D28DB" w:rsidRPr="00CD027A" w:rsidRDefault="008D28DB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19687E38" w14:textId="2BD9E55F" w:rsidR="008D28DB" w:rsidRPr="00CD027A" w:rsidRDefault="008D28DB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58BEFAD1" w14:textId="1D7B3A7A" w:rsidR="008D28DB" w:rsidRPr="00CD027A" w:rsidRDefault="008D28DB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2" w:type="dxa"/>
            <w:shd w:val="clear" w:color="auto" w:fill="B5C0D8"/>
          </w:tcPr>
          <w:p w14:paraId="31A900EA" w14:textId="77777777" w:rsidR="008D28DB" w:rsidRPr="00CD027A" w:rsidRDefault="008D28DB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8D28DB" w:rsidRPr="00E55B2F" w14:paraId="0BBE96E0" w14:textId="77777777" w:rsidTr="008D28DB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57A6DF2C" w14:textId="06FD17FD" w:rsidR="008D28DB" w:rsidRPr="00E55B2F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10.017</w:t>
            </w:r>
            <w:r w:rsidR="00AA0985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7CC78F2" w14:textId="11350BF9" w:rsidR="008D28DB" w:rsidRPr="00E55B2F" w:rsidRDefault="00AA09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02B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 w:rsidR="003702BB">
              <w:rPr>
                <w:rFonts w:ascii="Times New Roman" w:hAnsi="Times New Roman"/>
              </w:rPr>
              <w:t>017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3A48AD36" w14:textId="5DC92327" w:rsidR="008D28DB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9.160,35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1129CD88" w14:textId="7A4B9240" w:rsidR="008D28DB" w:rsidRPr="00E55B2F" w:rsidRDefault="00AA09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</w:t>
            </w:r>
            <w:r w:rsidR="003702B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5%</w:t>
            </w:r>
          </w:p>
        </w:tc>
      </w:tr>
    </w:tbl>
    <w:p w14:paraId="29AED942" w14:textId="77777777" w:rsidR="003004A7" w:rsidRDefault="003004A7" w:rsidP="003004A7">
      <w:pPr>
        <w:spacing w:line="360" w:lineRule="auto"/>
        <w:rPr>
          <w:rFonts w:ascii="Times New Roman" w:hAnsi="Times New Roman"/>
          <w:b/>
        </w:rPr>
      </w:pPr>
    </w:p>
    <w:p w14:paraId="33D17033" w14:textId="77777777" w:rsidR="003004A7" w:rsidRPr="009D408A" w:rsidRDefault="003004A7" w:rsidP="003004A7">
      <w:pPr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>A000</w:t>
      </w:r>
      <w:r>
        <w:rPr>
          <w:rFonts w:ascii="Times New Roman" w:hAnsi="Times New Roman"/>
          <w:b/>
        </w:rPr>
        <w:t>381</w:t>
      </w:r>
      <w:r w:rsidRPr="00E55B2F">
        <w:rPr>
          <w:rFonts w:ascii="Times New Roman" w:hAnsi="Times New Roman"/>
          <w:b/>
        </w:rPr>
        <w:t xml:space="preserve"> </w:t>
      </w:r>
      <w:r w:rsidRPr="007B6C7C">
        <w:rPr>
          <w:rFonts w:ascii="Times New Roman" w:hAnsi="Times New Roman"/>
          <w:b/>
        </w:rPr>
        <w:t xml:space="preserve">– </w:t>
      </w:r>
      <w:r w:rsidRPr="003E254B">
        <w:rPr>
          <w:rFonts w:ascii="Times New Roman" w:hAnsi="Times New Roman"/>
          <w:i/>
        </w:rPr>
        <w:t>Sufinanciranje prostorno</w:t>
      </w:r>
      <w:r>
        <w:rPr>
          <w:rFonts w:ascii="Times New Roman" w:hAnsi="Times New Roman"/>
          <w:i/>
        </w:rPr>
        <w:t xml:space="preserve"> </w:t>
      </w:r>
      <w:r w:rsidRPr="003E254B">
        <w:rPr>
          <w:rFonts w:ascii="Times New Roman" w:hAnsi="Times New Roman"/>
          <w:i/>
        </w:rPr>
        <w:t>planske dokumentacije</w:t>
      </w:r>
    </w:p>
    <w:p w14:paraId="04CA295A" w14:textId="2D021DC3" w:rsidR="003004A7" w:rsidRDefault="003004A7" w:rsidP="003004A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okviru ove aktivnosti planirano je </w:t>
      </w:r>
      <w:r w:rsidR="003702BB">
        <w:rPr>
          <w:rFonts w:ascii="Times New Roman" w:hAnsi="Times New Roman"/>
        </w:rPr>
        <w:t>4.600</w:t>
      </w:r>
      <w:r>
        <w:rPr>
          <w:rFonts w:ascii="Times New Roman" w:hAnsi="Times New Roman"/>
        </w:rPr>
        <w:t xml:space="preserve">,00 € te je ostvareno </w:t>
      </w:r>
      <w:r w:rsidR="003702BB">
        <w:rPr>
          <w:rFonts w:ascii="Times New Roman" w:hAnsi="Times New Roman"/>
        </w:rPr>
        <w:t>2.375,00</w:t>
      </w:r>
      <w:r>
        <w:rPr>
          <w:rFonts w:ascii="Times New Roman" w:hAnsi="Times New Roman"/>
        </w:rPr>
        <w:t xml:space="preserve"> € ili </w:t>
      </w:r>
      <w:r w:rsidR="003702BB">
        <w:rPr>
          <w:rFonts w:ascii="Times New Roman" w:hAnsi="Times New Roman"/>
        </w:rPr>
        <w:t>51,63</w:t>
      </w:r>
      <w:r>
        <w:rPr>
          <w:rFonts w:ascii="Times New Roman" w:hAnsi="Times New Roman"/>
        </w:rPr>
        <w:t xml:space="preserve">%. Navedena sredstva su utrošena za </w:t>
      </w:r>
      <w:r w:rsidR="003702BB">
        <w:rPr>
          <w:rFonts w:ascii="Times New Roman" w:hAnsi="Times New Roman"/>
        </w:rPr>
        <w:t>obavlj</w:t>
      </w:r>
      <w:r w:rsidR="00535FD0">
        <w:rPr>
          <w:rFonts w:ascii="Times New Roman" w:hAnsi="Times New Roman"/>
        </w:rPr>
        <w:t>ene</w:t>
      </w:r>
      <w:r w:rsidR="003702BB">
        <w:rPr>
          <w:rFonts w:ascii="Times New Roman" w:hAnsi="Times New Roman"/>
        </w:rPr>
        <w:t xml:space="preserve"> geodetsk</w:t>
      </w:r>
      <w:r w:rsidR="00535FD0">
        <w:rPr>
          <w:rFonts w:ascii="Times New Roman" w:hAnsi="Times New Roman"/>
        </w:rPr>
        <w:t>e</w:t>
      </w:r>
      <w:r w:rsidR="003702BB">
        <w:rPr>
          <w:rFonts w:ascii="Times New Roman" w:hAnsi="Times New Roman"/>
        </w:rPr>
        <w:t xml:space="preserve"> poslov</w:t>
      </w:r>
      <w:r w:rsidR="00535FD0">
        <w:rPr>
          <w:rFonts w:ascii="Times New Roman" w:hAnsi="Times New Roman"/>
        </w:rPr>
        <w:t>e</w:t>
      </w:r>
      <w:r w:rsidR="003702BB">
        <w:rPr>
          <w:rFonts w:ascii="Times New Roman" w:hAnsi="Times New Roman"/>
        </w:rPr>
        <w:t xml:space="preserve"> za potrebe Županije i procjen</w:t>
      </w:r>
      <w:r w:rsidR="00106F1A">
        <w:rPr>
          <w:rFonts w:ascii="Times New Roman" w:hAnsi="Times New Roman"/>
        </w:rPr>
        <w:t>u</w:t>
      </w:r>
      <w:r w:rsidR="003702BB">
        <w:rPr>
          <w:rFonts w:ascii="Times New Roman" w:hAnsi="Times New Roman"/>
        </w:rPr>
        <w:t xml:space="preserve"> vrijednosti sanacije prometnica na području Općine Đulovac</w:t>
      </w:r>
      <w:r w:rsidRPr="002538A8">
        <w:rPr>
          <w:rFonts w:ascii="Times New Roman" w:hAnsi="Times New Roman"/>
        </w:rPr>
        <w:t>.</w:t>
      </w:r>
    </w:p>
    <w:p w14:paraId="5AA1067C" w14:textId="77777777" w:rsidR="003004A7" w:rsidRDefault="003004A7" w:rsidP="003004A7">
      <w:pPr>
        <w:rPr>
          <w:rFonts w:ascii="Times New Roman" w:hAnsi="Times New Roman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2"/>
      </w:tblGrid>
      <w:tr w:rsidR="003004A7" w:rsidRPr="00E55B2F" w14:paraId="1FEC0EF8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6E82A400" w14:textId="38E2F06B" w:rsidR="003004A7" w:rsidRPr="00CD027A" w:rsidRDefault="003004A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24DA95DA" w14:textId="049ED5A3" w:rsidR="003004A7" w:rsidRPr="00CD027A" w:rsidRDefault="003004A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70B39DCA" w14:textId="48B93C37" w:rsidR="003004A7" w:rsidRPr="00CD027A" w:rsidRDefault="003004A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2" w:type="dxa"/>
            <w:shd w:val="clear" w:color="auto" w:fill="B5C0D8"/>
          </w:tcPr>
          <w:p w14:paraId="35B9472B" w14:textId="77777777" w:rsidR="003004A7" w:rsidRPr="00CD027A" w:rsidRDefault="003004A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004A7" w:rsidRPr="00E55B2F" w14:paraId="3DAD459A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3E070B79" w14:textId="47C65BF9" w:rsidR="003004A7" w:rsidRPr="00E55B2F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4.600</w:t>
            </w:r>
            <w:r w:rsidR="003004A7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2F4FF075" w14:textId="0F353900" w:rsidR="003004A7" w:rsidRPr="00E55B2F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004A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60</w:t>
            </w:r>
            <w:r w:rsidR="003004A7">
              <w:rPr>
                <w:rFonts w:ascii="Times New Roman" w:hAnsi="Times New Roman"/>
              </w:rPr>
              <w:t>0,00</w:t>
            </w:r>
          </w:p>
        </w:tc>
        <w:tc>
          <w:tcPr>
            <w:tcW w:w="2174" w:type="dxa"/>
          </w:tcPr>
          <w:p w14:paraId="28C887A1" w14:textId="19F92BDA" w:rsidR="003004A7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2.375,00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3007FE23" w14:textId="64A9566F" w:rsidR="003004A7" w:rsidRPr="00E55B2F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51,63</w:t>
            </w:r>
            <w:r w:rsidR="003004A7">
              <w:rPr>
                <w:rFonts w:ascii="Times New Roman" w:hAnsi="Times New Roman"/>
              </w:rPr>
              <w:t>%</w:t>
            </w:r>
          </w:p>
        </w:tc>
      </w:tr>
    </w:tbl>
    <w:p w14:paraId="3B540A53" w14:textId="77777777" w:rsidR="003004A7" w:rsidRDefault="003004A7" w:rsidP="008D28DB">
      <w:pPr>
        <w:spacing w:line="360" w:lineRule="auto"/>
        <w:rPr>
          <w:rFonts w:ascii="Times New Roman" w:hAnsi="Times New Roman"/>
        </w:rPr>
      </w:pPr>
    </w:p>
    <w:p w14:paraId="221CE2C7" w14:textId="77777777" w:rsidR="008D28DB" w:rsidRPr="00E55B2F" w:rsidRDefault="008D28DB" w:rsidP="008D28DB">
      <w:pPr>
        <w:jc w:val="both"/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 xml:space="preserve">K000068 – </w:t>
      </w:r>
      <w:r w:rsidRPr="009D408A">
        <w:rPr>
          <w:rFonts w:ascii="Times New Roman" w:hAnsi="Times New Roman"/>
          <w:i/>
        </w:rPr>
        <w:t>Geoinformacijski sustav</w:t>
      </w:r>
    </w:p>
    <w:p w14:paraId="4934B0DA" w14:textId="2E0DEB48" w:rsidR="008D28DB" w:rsidRDefault="00AE2FA7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aktivnost </w:t>
      </w:r>
      <w:r w:rsidRPr="009D408A">
        <w:rPr>
          <w:rFonts w:ascii="Times New Roman" w:hAnsi="Times New Roman"/>
          <w:i/>
        </w:rPr>
        <w:t>Geoinformacijski sustav</w:t>
      </w:r>
      <w:r>
        <w:rPr>
          <w:rFonts w:ascii="Times New Roman" w:hAnsi="Times New Roman"/>
          <w:i/>
        </w:rPr>
        <w:t xml:space="preserve"> </w:t>
      </w:r>
      <w:r w:rsidRPr="00AE2FA7">
        <w:rPr>
          <w:rFonts w:ascii="Times New Roman" w:hAnsi="Times New Roman"/>
        </w:rPr>
        <w:t>planirano</w:t>
      </w:r>
      <w:r>
        <w:rPr>
          <w:rFonts w:ascii="Times New Roman" w:hAnsi="Times New Roman"/>
        </w:rPr>
        <w:t xml:space="preserve"> je </w:t>
      </w:r>
      <w:r w:rsidR="003702BB">
        <w:rPr>
          <w:rFonts w:ascii="Times New Roman" w:hAnsi="Times New Roman"/>
        </w:rPr>
        <w:t>50.000</w:t>
      </w:r>
      <w:r>
        <w:rPr>
          <w:rFonts w:ascii="Times New Roman" w:hAnsi="Times New Roman"/>
        </w:rPr>
        <w:t xml:space="preserve">,00 €, a ostvareno je </w:t>
      </w:r>
      <w:r w:rsidR="003702BB">
        <w:rPr>
          <w:rFonts w:ascii="Times New Roman" w:hAnsi="Times New Roman"/>
        </w:rPr>
        <w:t>49.669,51</w:t>
      </w:r>
      <w:r>
        <w:rPr>
          <w:rFonts w:ascii="Times New Roman" w:hAnsi="Times New Roman"/>
        </w:rPr>
        <w:t xml:space="preserve"> €, odnosno </w:t>
      </w:r>
      <w:r w:rsidR="003702BB">
        <w:rPr>
          <w:rFonts w:ascii="Times New Roman" w:hAnsi="Times New Roman"/>
        </w:rPr>
        <w:t>99,34</w:t>
      </w:r>
      <w:r>
        <w:rPr>
          <w:rFonts w:ascii="Times New Roman" w:hAnsi="Times New Roman"/>
        </w:rPr>
        <w:t xml:space="preserve"> % od plana. </w:t>
      </w:r>
      <w:r w:rsidR="003702BB" w:rsidRPr="003702BB">
        <w:rPr>
          <w:rFonts w:ascii="Times New Roman" w:hAnsi="Times New Roman"/>
        </w:rPr>
        <w:t xml:space="preserve">Za potrebe rada Upravnog odjela te za potrebe JU Zavoda za prostorno uređenje, temeljem Ugovora za uslugu izrade BBŽ Geoportala, u 2024. godini implementirana je internet platforma BBŽ Geoportal, koja </w:t>
      </w:r>
      <w:r w:rsidR="00106F1A">
        <w:rPr>
          <w:rFonts w:ascii="Times New Roman" w:hAnsi="Times New Roman"/>
        </w:rPr>
        <w:t>pruža</w:t>
      </w:r>
      <w:r w:rsidR="003702BB" w:rsidRPr="003702BB">
        <w:rPr>
          <w:rFonts w:ascii="Times New Roman" w:hAnsi="Times New Roman"/>
        </w:rPr>
        <w:t xml:space="preserve"> mrežne geoinformacijske </w:t>
      </w:r>
      <w:r w:rsidR="00106F1A">
        <w:rPr>
          <w:rFonts w:ascii="Times New Roman" w:hAnsi="Times New Roman"/>
        </w:rPr>
        <w:t>usluge</w:t>
      </w:r>
      <w:r w:rsidR="003702BB" w:rsidRPr="003702BB">
        <w:rPr>
          <w:rFonts w:ascii="Times New Roman" w:hAnsi="Times New Roman"/>
        </w:rPr>
        <w:t xml:space="preserve"> jedinstvenog GIS portala</w:t>
      </w:r>
      <w:r w:rsidR="008D28DB" w:rsidRPr="003E254B">
        <w:rPr>
          <w:rFonts w:ascii="Times New Roman" w:hAnsi="Times New Roman"/>
        </w:rPr>
        <w:t>.</w:t>
      </w:r>
    </w:p>
    <w:p w14:paraId="05717CC1" w14:textId="77777777" w:rsidR="003004A7" w:rsidRDefault="003004A7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2"/>
      </w:tblGrid>
      <w:tr w:rsidR="00AE2FA7" w:rsidRPr="00E55B2F" w14:paraId="2F9AD5B4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6DCBBE9E" w14:textId="03385939" w:rsidR="00AE2FA7" w:rsidRPr="00CD027A" w:rsidRDefault="00AE2FA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3C5CB0AE" w14:textId="4476A0B3" w:rsidR="00AE2FA7" w:rsidRPr="00CD027A" w:rsidRDefault="00AE2FA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4AF2D1A9" w14:textId="0767A648" w:rsidR="00AE2FA7" w:rsidRPr="00CD027A" w:rsidRDefault="00AE2FA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3702B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2" w:type="dxa"/>
            <w:shd w:val="clear" w:color="auto" w:fill="B5C0D8"/>
          </w:tcPr>
          <w:p w14:paraId="6062210D" w14:textId="77777777" w:rsidR="00AE2FA7" w:rsidRPr="00CD027A" w:rsidRDefault="00AE2FA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AE2FA7" w:rsidRPr="00E55B2F" w14:paraId="7C4A65E6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62051608" w14:textId="570FC734" w:rsidR="00AE2FA7" w:rsidRPr="00E55B2F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50.000</w:t>
            </w:r>
            <w:r w:rsidR="00AE2FA7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782B2138" w14:textId="575050C1" w:rsidR="00AE2FA7" w:rsidRPr="00E55B2F" w:rsidRDefault="003702BB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50.000</w:t>
            </w:r>
            <w:r w:rsidR="00AE2FA7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29A66C43" w14:textId="48A94950" w:rsidR="00AE2FA7" w:rsidRDefault="00535FD0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E2FA7"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</w:rPr>
              <w:t>669,51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7094172F" w14:textId="623E8B8E" w:rsidR="00AE2FA7" w:rsidRPr="00E55B2F" w:rsidRDefault="00535FD0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99,34</w:t>
            </w:r>
          </w:p>
        </w:tc>
      </w:tr>
    </w:tbl>
    <w:p w14:paraId="4D342443" w14:textId="77777777" w:rsidR="008D28DB" w:rsidRDefault="008D28DB" w:rsidP="00AE2FA7">
      <w:pPr>
        <w:spacing w:line="360" w:lineRule="auto"/>
        <w:jc w:val="both"/>
        <w:rPr>
          <w:rFonts w:ascii="Times New Roman" w:hAnsi="Times New Roman"/>
          <w:b/>
        </w:rPr>
      </w:pPr>
    </w:p>
    <w:p w14:paraId="645FF3FB" w14:textId="77777777" w:rsidR="008D28DB" w:rsidRPr="00E55B2F" w:rsidRDefault="008D28DB" w:rsidP="008D28DB">
      <w:pPr>
        <w:jc w:val="both"/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 xml:space="preserve">K000134 – </w:t>
      </w:r>
      <w:r w:rsidRPr="003E254B">
        <w:rPr>
          <w:rFonts w:ascii="Times New Roman" w:hAnsi="Times New Roman"/>
          <w:bCs/>
          <w:i/>
        </w:rPr>
        <w:t>Sufinanciranje radova na obnovi termo ovojnice na zgradi HZMO-a</w:t>
      </w:r>
    </w:p>
    <w:p w14:paraId="501FD5A0" w14:textId="1E2E854E" w:rsidR="008D28DB" w:rsidRDefault="008D28DB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color w:val="FF0000"/>
        </w:rPr>
      </w:pPr>
      <w:r w:rsidRPr="003E254B">
        <w:rPr>
          <w:rFonts w:ascii="Times New Roman" w:hAnsi="Times New Roman"/>
        </w:rPr>
        <w:t>Temeljem potpisanog Ugovora o sufinanciranju troškova obnove vanjske ovojnice</w:t>
      </w:r>
      <w:r w:rsidR="00535FD0">
        <w:rPr>
          <w:rFonts w:ascii="Times New Roman" w:hAnsi="Times New Roman"/>
        </w:rPr>
        <w:t>,</w:t>
      </w:r>
      <w:r w:rsidRPr="003E254B">
        <w:rPr>
          <w:rFonts w:ascii="Times New Roman" w:hAnsi="Times New Roman"/>
        </w:rPr>
        <w:t xml:space="preserve"> uključ</w:t>
      </w:r>
      <w:r w:rsidR="00535FD0">
        <w:rPr>
          <w:rFonts w:ascii="Times New Roman" w:hAnsi="Times New Roman"/>
        </w:rPr>
        <w:t>ujući</w:t>
      </w:r>
      <w:r w:rsidRPr="003E254B">
        <w:rPr>
          <w:rFonts w:ascii="Times New Roman" w:hAnsi="Times New Roman"/>
        </w:rPr>
        <w:t xml:space="preserve"> krovište objekta</w:t>
      </w:r>
      <w:r w:rsidR="00535FD0">
        <w:rPr>
          <w:rFonts w:ascii="Times New Roman" w:hAnsi="Times New Roman"/>
        </w:rPr>
        <w:t>,</w:t>
      </w:r>
      <w:r w:rsidRPr="003E254B">
        <w:rPr>
          <w:rFonts w:ascii="Times New Roman" w:hAnsi="Times New Roman"/>
        </w:rPr>
        <w:t xml:space="preserve"> dijela poslovne zgrade Hrvatskog zavoda za mirovinsko osiguranje i Bjelovarsko-bilogorske županije u Bjelovaru, Masarykova 7, </w:t>
      </w:r>
      <w:r>
        <w:rPr>
          <w:rFonts w:ascii="Times New Roman" w:hAnsi="Times New Roman"/>
        </w:rPr>
        <w:t>osigura</w:t>
      </w:r>
      <w:r w:rsidR="00535FD0">
        <w:rPr>
          <w:rFonts w:ascii="Times New Roman" w:hAnsi="Times New Roman"/>
        </w:rPr>
        <w:t>na</w:t>
      </w:r>
      <w:r>
        <w:rPr>
          <w:rFonts w:ascii="Times New Roman" w:hAnsi="Times New Roman"/>
        </w:rPr>
        <w:t xml:space="preserve"> s</w:t>
      </w:r>
      <w:r w:rsidR="00535FD0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sredstva</w:t>
      </w:r>
      <w:r w:rsidRPr="00B57D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 izradu projektne dokumentacije i radove</w:t>
      </w:r>
      <w:r w:rsidRPr="00E55B2F">
        <w:rPr>
          <w:rFonts w:ascii="Times New Roman" w:hAnsi="Times New Roman"/>
        </w:rPr>
        <w:t xml:space="preserve">, </w:t>
      </w:r>
      <w:r w:rsidRPr="003E254B">
        <w:rPr>
          <w:rFonts w:ascii="Times New Roman" w:hAnsi="Times New Roman"/>
        </w:rPr>
        <w:t>sukladno veličini suvlasničkih udjela, HZMO u 70,66 %, a BBŽ u 29,34 %, zajedničkih troškova.</w:t>
      </w:r>
      <w:r w:rsidR="0029276B">
        <w:rPr>
          <w:rFonts w:ascii="Times New Roman" w:hAnsi="Times New Roman"/>
        </w:rPr>
        <w:t xml:space="preserve"> U</w:t>
      </w:r>
      <w:r w:rsidRPr="003E254B">
        <w:rPr>
          <w:rFonts w:ascii="Times New Roman" w:hAnsi="Times New Roman"/>
        </w:rPr>
        <w:t xml:space="preserve"> </w:t>
      </w:r>
      <w:r w:rsidR="0029276B">
        <w:rPr>
          <w:rFonts w:ascii="Times New Roman" w:hAnsi="Times New Roman"/>
        </w:rPr>
        <w:t>202</w:t>
      </w:r>
      <w:r w:rsidR="00535FD0">
        <w:rPr>
          <w:rFonts w:ascii="Times New Roman" w:hAnsi="Times New Roman"/>
        </w:rPr>
        <w:t>4</w:t>
      </w:r>
      <w:r w:rsidR="0029276B">
        <w:rPr>
          <w:rFonts w:ascii="Times New Roman" w:hAnsi="Times New Roman"/>
        </w:rPr>
        <w:t xml:space="preserve">. godini </w:t>
      </w:r>
      <w:r w:rsidR="00535FD0">
        <w:rPr>
          <w:rFonts w:ascii="Times New Roman" w:hAnsi="Times New Roman"/>
        </w:rPr>
        <w:t>r</w:t>
      </w:r>
      <w:r w:rsidR="0029276B">
        <w:rPr>
          <w:rFonts w:ascii="Times New Roman" w:hAnsi="Times New Roman"/>
        </w:rPr>
        <w:t xml:space="preserve">adovi su </w:t>
      </w:r>
      <w:r w:rsidR="00535FD0">
        <w:rPr>
          <w:rFonts w:ascii="Times New Roman" w:hAnsi="Times New Roman"/>
        </w:rPr>
        <w:t>najvećim dijelom završeni te je za navedenu namjenu utrošeno 101.078,28 € od planiranih 102.000,00 €</w:t>
      </w:r>
      <w:r w:rsidR="0029276B">
        <w:rPr>
          <w:rFonts w:ascii="Times New Roman" w:hAnsi="Times New Roman"/>
        </w:rPr>
        <w:t>.</w:t>
      </w:r>
    </w:p>
    <w:p w14:paraId="7053351C" w14:textId="77777777" w:rsidR="00AE2FA7" w:rsidRPr="00E55B2F" w:rsidRDefault="00AE2FA7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color w:val="FF0000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2"/>
      </w:tblGrid>
      <w:tr w:rsidR="00AE2FA7" w:rsidRPr="00E55B2F" w14:paraId="3CF7E77C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43297925" w14:textId="362907AF" w:rsidR="00AE2FA7" w:rsidRPr="00CD027A" w:rsidRDefault="00AE2FA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106F1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29195197" w14:textId="4EB2F7FB" w:rsidR="00AE2FA7" w:rsidRPr="00CD027A" w:rsidRDefault="00AE2FA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106F1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4B5BDCD4" w14:textId="2EDA771E" w:rsidR="00AE2FA7" w:rsidRPr="00CD027A" w:rsidRDefault="00AE2FA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106F1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2" w:type="dxa"/>
            <w:shd w:val="clear" w:color="auto" w:fill="B5C0D8"/>
          </w:tcPr>
          <w:p w14:paraId="1E339C17" w14:textId="77777777" w:rsidR="00AE2FA7" w:rsidRPr="00CD027A" w:rsidRDefault="00AE2FA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AE2FA7" w:rsidRPr="00E55B2F" w14:paraId="3C192B28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0D7864AE" w14:textId="144F9D11" w:rsidR="00AE2FA7" w:rsidRPr="00E55B2F" w:rsidRDefault="00106F1A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102.000</w:t>
            </w:r>
            <w:r w:rsidR="0029276B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EBB1883" w14:textId="0F8F827D" w:rsidR="00AE2FA7" w:rsidRPr="00E55B2F" w:rsidRDefault="00106F1A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102.000</w:t>
            </w:r>
            <w:r w:rsidR="0029276B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4AA8475C" w14:textId="4BEBD78C" w:rsidR="00AE2FA7" w:rsidRDefault="00106F1A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101.078,28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34C6723C" w14:textId="21CE48AB" w:rsidR="00AE2FA7" w:rsidRPr="00E55B2F" w:rsidRDefault="00106F1A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99,10</w:t>
            </w:r>
          </w:p>
        </w:tc>
      </w:tr>
    </w:tbl>
    <w:p w14:paraId="2C9982B0" w14:textId="6404DAB1" w:rsidR="008D28DB" w:rsidRPr="009D408A" w:rsidRDefault="00215759" w:rsidP="008D28DB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lastRenderedPageBreak/>
        <w:t>K</w:t>
      </w:r>
      <w:r w:rsidR="008D28DB" w:rsidRPr="00E55B2F">
        <w:rPr>
          <w:rFonts w:ascii="Times New Roman" w:hAnsi="Times New Roman"/>
          <w:b/>
        </w:rPr>
        <w:t>000</w:t>
      </w:r>
      <w:r w:rsidR="008D28DB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70</w:t>
      </w:r>
      <w:r w:rsidR="008D28DB" w:rsidRPr="00E55B2F">
        <w:rPr>
          <w:rFonts w:ascii="Times New Roman" w:hAnsi="Times New Roman"/>
          <w:b/>
        </w:rPr>
        <w:t xml:space="preserve"> </w:t>
      </w:r>
      <w:r w:rsidR="008D28DB" w:rsidRPr="007B6C7C">
        <w:rPr>
          <w:rFonts w:ascii="Times New Roman" w:hAnsi="Times New Roman"/>
          <w:b/>
        </w:rPr>
        <w:t xml:space="preserve">– </w:t>
      </w:r>
      <w:r w:rsidR="008D28DB" w:rsidRPr="003E254B">
        <w:rPr>
          <w:rFonts w:ascii="Times New Roman" w:hAnsi="Times New Roman"/>
          <w:i/>
        </w:rPr>
        <w:t xml:space="preserve">Sufinanciranje </w:t>
      </w:r>
      <w:r w:rsidR="008D28DB">
        <w:rPr>
          <w:rFonts w:ascii="Times New Roman" w:hAnsi="Times New Roman"/>
          <w:i/>
        </w:rPr>
        <w:t xml:space="preserve">sanacije </w:t>
      </w:r>
      <w:r>
        <w:rPr>
          <w:rFonts w:ascii="Times New Roman" w:hAnsi="Times New Roman"/>
          <w:i/>
        </w:rPr>
        <w:t>klizišta</w:t>
      </w:r>
    </w:p>
    <w:p w14:paraId="183755A8" w14:textId="40BED0AC" w:rsidR="008D28DB" w:rsidRDefault="008D28DB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 okviru ove aktivnosti planiran</w:t>
      </w:r>
      <w:r w:rsidR="0029276B">
        <w:rPr>
          <w:rFonts w:ascii="Times New Roman" w:hAnsi="Times New Roman"/>
        </w:rPr>
        <w:t xml:space="preserve">o je </w:t>
      </w:r>
      <w:r w:rsidR="00215759">
        <w:rPr>
          <w:rFonts w:ascii="Times New Roman" w:hAnsi="Times New Roman"/>
        </w:rPr>
        <w:t>1.000</w:t>
      </w:r>
      <w:r w:rsidR="0029276B">
        <w:rPr>
          <w:rFonts w:ascii="Times New Roman" w:hAnsi="Times New Roman"/>
        </w:rPr>
        <w:t>,00 €</w:t>
      </w:r>
      <w:r w:rsidR="00215759">
        <w:rPr>
          <w:rFonts w:ascii="Times New Roman" w:hAnsi="Times New Roman"/>
        </w:rPr>
        <w:t xml:space="preserve"> za sufinanciranje dijela troškova nastalih uslijed pojave klizišta na pogođenim područjima Bjelovarsko-bilogorske županije te za izradu dokumentacije potrebne za sanaciju. U 2024. godini nije bilo ostvarenja sredstava.</w:t>
      </w:r>
    </w:p>
    <w:p w14:paraId="1DDDDEF5" w14:textId="77777777" w:rsidR="0029276B" w:rsidRPr="00E55B2F" w:rsidRDefault="0029276B" w:rsidP="008D28D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29276B" w:rsidRPr="00E55B2F" w14:paraId="0B1C4897" w14:textId="77777777" w:rsidTr="0029276B">
        <w:trPr>
          <w:trHeight w:val="322"/>
        </w:trPr>
        <w:tc>
          <w:tcPr>
            <w:tcW w:w="2559" w:type="dxa"/>
            <w:shd w:val="clear" w:color="auto" w:fill="B5C0D8"/>
          </w:tcPr>
          <w:p w14:paraId="63BF1712" w14:textId="2E785D8B" w:rsidR="0029276B" w:rsidRPr="00CD027A" w:rsidRDefault="0029276B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15759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34E504FA" w14:textId="31BB96C5" w:rsidR="0029276B" w:rsidRPr="00CD027A" w:rsidRDefault="0029276B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15759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50FCB2D3" w14:textId="35CD2589" w:rsidR="0029276B" w:rsidRPr="00CD027A" w:rsidRDefault="0029276B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15759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096537D9" w14:textId="77777777" w:rsidR="0029276B" w:rsidRPr="00CD027A" w:rsidRDefault="0029276B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9276B" w:rsidRPr="00E55B2F" w14:paraId="1C49B293" w14:textId="77777777" w:rsidTr="0029276B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57198AA4" w14:textId="0A714749" w:rsidR="0029276B" w:rsidRPr="00E55B2F" w:rsidRDefault="00215759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1.000</w:t>
            </w:r>
            <w:r w:rsidR="0029276B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09E8A1DA" w14:textId="36C8645B" w:rsidR="0029276B" w:rsidRPr="00E55B2F" w:rsidRDefault="00215759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1.000</w:t>
            </w:r>
            <w:r w:rsidR="0029276B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3C95EDBB" w14:textId="2B253A06" w:rsidR="0029276B" w:rsidRDefault="00215759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9276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ECDE7FD" w14:textId="1BCFEAF2" w:rsidR="0029276B" w:rsidRPr="00E55B2F" w:rsidRDefault="00215759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25466D3" w14:textId="77777777" w:rsidR="008D28DB" w:rsidRPr="00036BCF" w:rsidRDefault="008D28DB" w:rsidP="00A82C6B">
      <w:pPr>
        <w:jc w:val="both"/>
        <w:rPr>
          <w:rFonts w:ascii="Times New Roman" w:hAnsi="Times New Roman"/>
          <w:szCs w:val="24"/>
        </w:rPr>
      </w:pPr>
    </w:p>
    <w:p w14:paraId="0AF99A0D" w14:textId="77777777" w:rsidR="00CB4535" w:rsidRDefault="00CB4535" w:rsidP="00647CBD">
      <w:pPr>
        <w:rPr>
          <w:rFonts w:ascii="Times New Roman" w:hAnsi="Times New Roman"/>
          <w:b/>
          <w:szCs w:val="24"/>
          <w:lang w:val="hr-HR"/>
        </w:rPr>
      </w:pPr>
    </w:p>
    <w:p w14:paraId="24979FB1" w14:textId="77777777" w:rsidR="00647CBD" w:rsidRDefault="00647CBD" w:rsidP="00647CBD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p w14:paraId="67D62144" w14:textId="77777777" w:rsidR="00CB4535" w:rsidRPr="00CD027A" w:rsidRDefault="00CB4535" w:rsidP="00647CBD">
      <w:pPr>
        <w:rPr>
          <w:rFonts w:ascii="Times New Roman" w:hAnsi="Times New Roman"/>
          <w:b/>
          <w:szCs w:val="24"/>
          <w:lang w:val="hr-HR"/>
        </w:rPr>
      </w:pP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647CBD" w:rsidRPr="00CD027A" w14:paraId="515E1C10" w14:textId="77777777" w:rsidTr="00647CBD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CC710FC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BE360E0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D08363B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F1572DD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4E464D3" w14:textId="2C904300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215759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8FCB2A4" w14:textId="52B83A8D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215759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15B14" w:rsidRPr="00CD027A" w14:paraId="1CC69FD3" w14:textId="77777777" w:rsidTr="00517CBE">
        <w:trPr>
          <w:trHeight w:val="852"/>
        </w:trPr>
        <w:tc>
          <w:tcPr>
            <w:tcW w:w="2122" w:type="dxa"/>
            <w:vAlign w:val="center"/>
          </w:tcPr>
          <w:p w14:paraId="22676D87" w14:textId="77982496"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 xml:space="preserve">Broj </w:t>
            </w:r>
            <w:r w:rsidR="00DB4583">
              <w:rPr>
                <w:rFonts w:ascii="Times New Roman" w:hAnsi="Times New Roman"/>
                <w:sz w:val="20"/>
                <w:lang w:val="hr-HR"/>
              </w:rPr>
              <w:t>sjednica Povjerenstva</w:t>
            </w:r>
            <w:r w:rsidR="00D42C7E">
              <w:rPr>
                <w:rFonts w:ascii="Times New Roman" w:hAnsi="Times New Roman"/>
                <w:sz w:val="20"/>
                <w:lang w:val="hr-HR"/>
              </w:rPr>
              <w:t xml:space="preserve"> za procjenu nekretnina</w:t>
            </w:r>
            <w:r w:rsidR="00DB4583">
              <w:rPr>
                <w:rFonts w:ascii="Times New Roman" w:hAnsi="Times New Roman"/>
                <w:sz w:val="20"/>
                <w:lang w:val="hr-HR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14:paraId="74E1941B" w14:textId="77777777"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 xml:space="preserve">Pokazatelj se odnosi </w:t>
            </w:r>
            <w:r w:rsidR="00DB4583">
              <w:rPr>
                <w:rFonts w:ascii="Times New Roman" w:hAnsi="Times New Roman"/>
                <w:sz w:val="20"/>
                <w:lang w:val="hr-HR"/>
              </w:rPr>
              <w:t>na broj održanih sjednica</w:t>
            </w:r>
          </w:p>
        </w:tc>
        <w:tc>
          <w:tcPr>
            <w:tcW w:w="1418" w:type="dxa"/>
            <w:vAlign w:val="center"/>
          </w:tcPr>
          <w:p w14:paraId="0CFBB544" w14:textId="77777777" w:rsidR="00815B14" w:rsidRPr="00815B14" w:rsidRDefault="00DB4583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broj</w:t>
            </w:r>
          </w:p>
        </w:tc>
        <w:tc>
          <w:tcPr>
            <w:tcW w:w="1417" w:type="dxa"/>
            <w:vAlign w:val="center"/>
          </w:tcPr>
          <w:p w14:paraId="2F65A315" w14:textId="77777777" w:rsidR="00815B14" w:rsidRPr="00815B14" w:rsidRDefault="00517CBE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5</w:t>
            </w:r>
          </w:p>
        </w:tc>
        <w:tc>
          <w:tcPr>
            <w:tcW w:w="1560" w:type="dxa"/>
            <w:vAlign w:val="center"/>
          </w:tcPr>
          <w:p w14:paraId="692E2B00" w14:textId="77777777" w:rsidR="00815B14" w:rsidRPr="00815B14" w:rsidRDefault="00517CBE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5</w:t>
            </w:r>
          </w:p>
        </w:tc>
        <w:tc>
          <w:tcPr>
            <w:tcW w:w="1419" w:type="dxa"/>
            <w:vAlign w:val="center"/>
          </w:tcPr>
          <w:p w14:paraId="2B349F0E" w14:textId="4EE1A369" w:rsidR="00815B14" w:rsidRPr="00815B14" w:rsidRDefault="00D42C7E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9</w:t>
            </w:r>
          </w:p>
        </w:tc>
      </w:tr>
      <w:tr w:rsidR="00517CBE" w:rsidRPr="00CD027A" w14:paraId="781D48BB" w14:textId="77777777" w:rsidTr="00E40577">
        <w:trPr>
          <w:trHeight w:val="520"/>
        </w:trPr>
        <w:tc>
          <w:tcPr>
            <w:tcW w:w="2122" w:type="dxa"/>
            <w:vAlign w:val="center"/>
          </w:tcPr>
          <w:p w14:paraId="0AEE1CED" w14:textId="77777777" w:rsidR="00517CBE" w:rsidRPr="00517CBE" w:rsidRDefault="00517CBE" w:rsidP="002C1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Broj prostorno planskih dokumenata</w:t>
            </w:r>
          </w:p>
        </w:tc>
        <w:tc>
          <w:tcPr>
            <w:tcW w:w="1842" w:type="dxa"/>
            <w:vAlign w:val="center"/>
          </w:tcPr>
          <w:p w14:paraId="6BD85735" w14:textId="77777777" w:rsidR="00517CBE" w:rsidRPr="00517CBE" w:rsidRDefault="00517CBE" w:rsidP="002C1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Pokazatelj se odnosi na izradu prostorno planskih dokumenata</w:t>
            </w:r>
          </w:p>
        </w:tc>
        <w:tc>
          <w:tcPr>
            <w:tcW w:w="1418" w:type="dxa"/>
            <w:vAlign w:val="center"/>
          </w:tcPr>
          <w:p w14:paraId="65968569" w14:textId="77777777" w:rsidR="00517CBE" w:rsidRPr="00517CBE" w:rsidRDefault="00517CBE" w:rsidP="002C1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417" w:type="dxa"/>
            <w:vAlign w:val="center"/>
          </w:tcPr>
          <w:p w14:paraId="5A890268" w14:textId="77777777" w:rsidR="00517CBE" w:rsidRPr="00517CBE" w:rsidRDefault="00517CBE" w:rsidP="002C1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14:paraId="552E33E2" w14:textId="77777777" w:rsidR="00517CBE" w:rsidRPr="00517CBE" w:rsidRDefault="00517CBE" w:rsidP="002C1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14:paraId="688958B7" w14:textId="57D32772" w:rsidR="00517CBE" w:rsidRPr="00517CBE" w:rsidRDefault="00D42C7E" w:rsidP="002C1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167C2F7D" w14:textId="77777777" w:rsidR="00F226F0" w:rsidRDefault="00F226F0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14:paraId="35368422" w14:textId="77777777" w:rsidR="00517CBE" w:rsidRDefault="00517CBE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0777EF43" w14:textId="77777777" w:rsidR="00517CBE" w:rsidRPr="00430152" w:rsidRDefault="00517CBE" w:rsidP="00517CBE">
      <w:pPr>
        <w:rPr>
          <w:rFonts w:ascii="Times New Roman" w:hAnsi="Times New Roman"/>
          <w:i/>
          <w:caps/>
          <w:szCs w:val="24"/>
        </w:rPr>
      </w:pPr>
      <w:r w:rsidRPr="00430152">
        <w:rPr>
          <w:rFonts w:ascii="Times New Roman" w:hAnsi="Times New Roman"/>
          <w:i/>
          <w:szCs w:val="24"/>
        </w:rPr>
        <w:t xml:space="preserve">NAZIV PROGRAMA: </w:t>
      </w:r>
      <w:r w:rsidRPr="00430152">
        <w:rPr>
          <w:rFonts w:ascii="Times New Roman" w:hAnsi="Times New Roman"/>
          <w:i/>
          <w:caps/>
          <w:szCs w:val="24"/>
        </w:rPr>
        <w:t>1026 Redovna djelatnost JU Zavoda za prostorno uređenje Bjelovarsko-bilogorske županije</w:t>
      </w:r>
    </w:p>
    <w:p w14:paraId="1F2287D4" w14:textId="77777777" w:rsidR="00430152" w:rsidRDefault="00430152" w:rsidP="00517CBE">
      <w:pPr>
        <w:rPr>
          <w:rFonts w:ascii="Times New Roman" w:hAnsi="Times New Roman"/>
          <w:b/>
        </w:rPr>
      </w:pPr>
    </w:p>
    <w:p w14:paraId="0AC1831F" w14:textId="77777777" w:rsidR="00517CBE" w:rsidRPr="00E55B2F" w:rsidRDefault="00517CBE" w:rsidP="00517CBE">
      <w:pPr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OPIS PROGRAMA:</w:t>
      </w:r>
    </w:p>
    <w:p w14:paraId="3CCFEB18" w14:textId="77777777" w:rsidR="00517CBE" w:rsidRPr="00E55B2F" w:rsidRDefault="00517CBE" w:rsidP="00517CBE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Redovna djelatnost</w:t>
      </w:r>
      <w:r w:rsidRPr="00E55B2F">
        <w:rPr>
          <w:rFonts w:ascii="Times New Roman" w:hAnsi="Times New Roman"/>
          <w:bCs/>
        </w:rPr>
        <w:t xml:space="preserve"> Zavoda za prostorno uređenje Bjelovarsko-bilogorske županije obuhvaća:</w:t>
      </w:r>
    </w:p>
    <w:p w14:paraId="0F7ABF5A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 xml:space="preserve">izradu Prostornog plana Bjelovarsko-bilogorske županije (i izmjena i dopuna), </w:t>
      </w:r>
    </w:p>
    <w:p w14:paraId="730BAC0B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praćenje njegove provedbe,</w:t>
      </w:r>
    </w:p>
    <w:p w14:paraId="21D425B9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izradu Izvješća o stanju u prostoru Bjelovarsko-bilogorske županije,</w:t>
      </w:r>
    </w:p>
    <w:p w14:paraId="62B7EA45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vođenje informacijskog sustava prostornog uređenja Republike Hrvatske i upravljanja njime u okviru ovlasti,</w:t>
      </w:r>
    </w:p>
    <w:p w14:paraId="44A33E85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vođenje informacijskog sustava prostornog uređenja Bjelovarsko-bilogorske županije i upravljanja njime u okviru njegovih ovlasti,</w:t>
      </w:r>
    </w:p>
    <w:p w14:paraId="45A24BE8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pružanje stručne savjetodavne pomoći u izradi prostornih planova lokalne razine,</w:t>
      </w:r>
    </w:p>
    <w:p w14:paraId="7E46EA14" w14:textId="77777777" w:rsidR="00517CBE" w:rsidRPr="00E55B2F" w:rsidRDefault="00517CBE" w:rsidP="00517CBE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izdavanje mišljenja u postupku donošenja prostornog plana uređenja grada odnosno, općine i generalnog urbanističkog plana,</w:t>
      </w:r>
    </w:p>
    <w:p w14:paraId="018F0990" w14:textId="77777777" w:rsidR="00517CBE" w:rsidRPr="00E55B2F" w:rsidRDefault="00517CBE" w:rsidP="00430152">
      <w:pPr>
        <w:pStyle w:val="Odlomakpopisa"/>
        <w:numPr>
          <w:ilvl w:val="0"/>
          <w:numId w:val="18"/>
        </w:numPr>
        <w:spacing w:before="240"/>
        <w:jc w:val="both"/>
        <w:rPr>
          <w:rFonts w:ascii="Times New Roman" w:hAnsi="Times New Roman"/>
          <w:b/>
        </w:rPr>
      </w:pPr>
      <w:r w:rsidRPr="00E55B2F">
        <w:rPr>
          <w:rFonts w:ascii="Times New Roman" w:hAnsi="Times New Roman"/>
        </w:rPr>
        <w:t>rad u stručnim komisijama, povjerenstvima i radnim skupinama.</w:t>
      </w:r>
    </w:p>
    <w:p w14:paraId="676E9C5F" w14:textId="77777777" w:rsidR="00430152" w:rsidRDefault="00430152" w:rsidP="00430152">
      <w:pPr>
        <w:rPr>
          <w:rFonts w:ascii="Times New Roman" w:hAnsi="Times New Roman"/>
          <w:b/>
        </w:rPr>
      </w:pPr>
    </w:p>
    <w:p w14:paraId="1971D829" w14:textId="77777777" w:rsidR="00430152" w:rsidRDefault="00430152" w:rsidP="00430152">
      <w:pPr>
        <w:rPr>
          <w:rFonts w:ascii="Times New Roman" w:hAnsi="Times New Roman"/>
          <w:b/>
        </w:rPr>
      </w:pPr>
    </w:p>
    <w:p w14:paraId="3F7E4E33" w14:textId="1AA721CA" w:rsidR="00430152" w:rsidRPr="00430152" w:rsidRDefault="00430152" w:rsidP="00430152">
      <w:pPr>
        <w:rPr>
          <w:rFonts w:ascii="Times New Roman" w:hAnsi="Times New Roman"/>
          <w:b/>
        </w:rPr>
      </w:pPr>
      <w:r w:rsidRPr="00430152">
        <w:rPr>
          <w:rFonts w:ascii="Times New Roman" w:hAnsi="Times New Roman"/>
          <w:b/>
        </w:rPr>
        <w:t>IZVRŠENJE PROGRAMA S</w:t>
      </w:r>
      <w:r w:rsidR="00891880">
        <w:rPr>
          <w:rFonts w:ascii="Times New Roman" w:hAnsi="Times New Roman"/>
          <w:b/>
        </w:rPr>
        <w:t>A</w:t>
      </w:r>
      <w:r w:rsidRPr="00430152">
        <w:rPr>
          <w:rFonts w:ascii="Times New Roman" w:hAnsi="Times New Roman"/>
          <w:b/>
        </w:rPr>
        <w:t xml:space="preserve"> OSVRTOM NA CILJEVE KOJI SU OSTVARENI NJEGOVOM PROVEDBOM</w:t>
      </w:r>
    </w:p>
    <w:p w14:paraId="6B8AC1EF" w14:textId="77777777" w:rsidR="00430152" w:rsidRPr="00430152" w:rsidRDefault="00430152" w:rsidP="00430152">
      <w:pPr>
        <w:rPr>
          <w:rFonts w:ascii="Times New Roman" w:hAnsi="Times New Roman"/>
        </w:rPr>
      </w:pPr>
    </w:p>
    <w:p w14:paraId="453ECBA2" w14:textId="2A446F9B" w:rsidR="00430152" w:rsidRDefault="00430152" w:rsidP="002C18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Izvršenje Programa </w:t>
      </w:r>
      <w:r w:rsidRPr="004C2A90">
        <w:rPr>
          <w:rFonts w:ascii="Times New Roman" w:hAnsi="Times New Roman"/>
          <w:i/>
        </w:rPr>
        <w:t>Redovna djelatnost JU Zavoda za prostorno uređenje</w:t>
      </w:r>
      <w:r>
        <w:rPr>
          <w:rFonts w:ascii="Times New Roman" w:hAnsi="Times New Roman"/>
        </w:rPr>
        <w:t xml:space="preserve"> u 202</w:t>
      </w:r>
      <w:r w:rsidR="00D42C7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godini je </w:t>
      </w:r>
      <w:r w:rsidR="00D42C7E">
        <w:rPr>
          <w:rFonts w:ascii="Times New Roman" w:hAnsi="Times New Roman"/>
        </w:rPr>
        <w:t>76,97</w:t>
      </w:r>
      <w:r>
        <w:rPr>
          <w:rFonts w:ascii="Times New Roman" w:hAnsi="Times New Roman"/>
        </w:rPr>
        <w:t xml:space="preserve">% te su time ostvareni ciljevi podizanja kvalitete prostorno planske dokumentacije područne (regionalne) i lokalne razine, čime </w:t>
      </w:r>
      <w:r w:rsidR="002C1864">
        <w:rPr>
          <w:rFonts w:ascii="Times New Roman" w:hAnsi="Times New Roman"/>
        </w:rPr>
        <w:t>su osigurani uvjeti za optimalno korištenje prostora Bjelovarsko-bilogorske županije omogućavanjem neometane provedbe zahvata u prostoru, ali i zaštitu posebnih vrijednosti prostora Bjelovarsko-bilogorske županije.</w:t>
      </w:r>
    </w:p>
    <w:p w14:paraId="1516EF94" w14:textId="1E7A5DA2" w:rsidR="002C1864" w:rsidRDefault="002C1864" w:rsidP="00430152">
      <w:pPr>
        <w:rPr>
          <w:rFonts w:ascii="Times New Roman" w:hAnsi="Times New Roman"/>
        </w:rPr>
      </w:pPr>
    </w:p>
    <w:p w14:paraId="5766DEE6" w14:textId="77777777" w:rsidR="00D42C7E" w:rsidRPr="00430152" w:rsidRDefault="00D42C7E" w:rsidP="00430152">
      <w:pPr>
        <w:rPr>
          <w:rFonts w:ascii="Times New Roman" w:hAnsi="Times New Roman"/>
        </w:rPr>
      </w:pPr>
    </w:p>
    <w:p w14:paraId="2BF1BF8F" w14:textId="77777777" w:rsidR="00517CBE" w:rsidRPr="004C2A90" w:rsidRDefault="00517CBE" w:rsidP="00517CBE">
      <w:pPr>
        <w:jc w:val="both"/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lastRenderedPageBreak/>
        <w:t xml:space="preserve">A000187– </w:t>
      </w:r>
      <w:r w:rsidRPr="004C2A90">
        <w:rPr>
          <w:rFonts w:ascii="Times New Roman" w:hAnsi="Times New Roman"/>
          <w:i/>
        </w:rPr>
        <w:t>Redovna djelatnost JU Zavoda za prostorno uređenje</w:t>
      </w:r>
    </w:p>
    <w:p w14:paraId="744E8CAA" w14:textId="4461F8EF" w:rsidR="00517CBE" w:rsidRDefault="00B64F85" w:rsidP="003071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</w:t>
      </w:r>
      <w:r w:rsidR="00517CBE" w:rsidRPr="002C1864">
        <w:rPr>
          <w:rFonts w:ascii="Times New Roman" w:hAnsi="Times New Roman"/>
        </w:rPr>
        <w:t xml:space="preserve"> redovne djelatnosti</w:t>
      </w:r>
      <w:r w:rsidR="00307158">
        <w:rPr>
          <w:rFonts w:ascii="Times New Roman" w:hAnsi="Times New Roman"/>
        </w:rPr>
        <w:t xml:space="preserve"> JU Zavoda za prostorno </w:t>
      </w:r>
      <w:r w:rsidR="00246371">
        <w:rPr>
          <w:rFonts w:ascii="Times New Roman" w:hAnsi="Times New Roman"/>
        </w:rPr>
        <w:t>uređenje</w:t>
      </w:r>
      <w:r w:rsidR="00307158">
        <w:rPr>
          <w:rFonts w:ascii="Times New Roman" w:hAnsi="Times New Roman"/>
        </w:rPr>
        <w:t xml:space="preserve"> Bjelovarsko-bilogorske županije</w:t>
      </w:r>
      <w:r w:rsidR="00517CBE" w:rsidRPr="002C1864">
        <w:rPr>
          <w:rFonts w:ascii="Times New Roman" w:hAnsi="Times New Roman"/>
        </w:rPr>
        <w:t xml:space="preserve"> planir</w:t>
      </w:r>
      <w:r w:rsidR="002C1864" w:rsidRPr="002C1864">
        <w:rPr>
          <w:rFonts w:ascii="Times New Roman" w:hAnsi="Times New Roman"/>
        </w:rPr>
        <w:t>ana</w:t>
      </w:r>
      <w:r w:rsidR="00517CBE" w:rsidRPr="002C1864">
        <w:rPr>
          <w:rFonts w:ascii="Times New Roman" w:hAnsi="Times New Roman"/>
        </w:rPr>
        <w:t xml:space="preserve"> s</w:t>
      </w:r>
      <w:r w:rsidR="002C1864" w:rsidRPr="002C1864">
        <w:rPr>
          <w:rFonts w:ascii="Times New Roman" w:hAnsi="Times New Roman"/>
        </w:rPr>
        <w:t>u</w:t>
      </w:r>
      <w:r w:rsidR="00517CBE" w:rsidRPr="002C1864">
        <w:rPr>
          <w:rFonts w:ascii="Times New Roman" w:hAnsi="Times New Roman"/>
        </w:rPr>
        <w:t xml:space="preserve"> sredstva za zaposlene</w:t>
      </w:r>
      <w:r w:rsidR="00307158">
        <w:rPr>
          <w:rFonts w:ascii="Times New Roman" w:hAnsi="Times New Roman"/>
        </w:rPr>
        <w:t xml:space="preserve"> te </w:t>
      </w:r>
      <w:r w:rsidR="00517CBE" w:rsidRPr="002C1864">
        <w:rPr>
          <w:rFonts w:ascii="Times New Roman" w:hAnsi="Times New Roman"/>
        </w:rPr>
        <w:t>materijalne</w:t>
      </w:r>
      <w:r w:rsidR="002C1864" w:rsidRPr="002C1864">
        <w:rPr>
          <w:rFonts w:ascii="Times New Roman" w:hAnsi="Times New Roman"/>
        </w:rPr>
        <w:t xml:space="preserve"> i financijske rashode u iznosu </w:t>
      </w:r>
      <w:r>
        <w:rPr>
          <w:rFonts w:ascii="Times New Roman" w:hAnsi="Times New Roman"/>
        </w:rPr>
        <w:t>275.000</w:t>
      </w:r>
      <w:r w:rsidR="002C1864" w:rsidRPr="002C1864">
        <w:rPr>
          <w:rFonts w:ascii="Times New Roman" w:hAnsi="Times New Roman"/>
        </w:rPr>
        <w:t>,00 €, od čega je ostvareno 2</w:t>
      </w:r>
      <w:r>
        <w:rPr>
          <w:rFonts w:ascii="Times New Roman" w:hAnsi="Times New Roman"/>
        </w:rPr>
        <w:t>14.990,56</w:t>
      </w:r>
      <w:r w:rsidR="002C1864" w:rsidRPr="002C1864">
        <w:rPr>
          <w:rFonts w:ascii="Times New Roman" w:hAnsi="Times New Roman"/>
        </w:rPr>
        <w:t xml:space="preserve"> €</w:t>
      </w:r>
      <w:r>
        <w:rPr>
          <w:rFonts w:ascii="Times New Roman" w:hAnsi="Times New Roman"/>
        </w:rPr>
        <w:t>, odnosno</w:t>
      </w:r>
      <w:r w:rsidR="002C1864" w:rsidRPr="002C18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78,18</w:t>
      </w:r>
      <w:r w:rsidR="002C1864" w:rsidRPr="002C1864">
        <w:rPr>
          <w:rFonts w:ascii="Times New Roman" w:hAnsi="Times New Roman"/>
        </w:rPr>
        <w:t>%</w:t>
      </w:r>
      <w:r w:rsidR="002C1864">
        <w:rPr>
          <w:rFonts w:ascii="Times New Roman" w:hAnsi="Times New Roman"/>
        </w:rPr>
        <w:t xml:space="preserve"> od plana</w:t>
      </w:r>
      <w:r>
        <w:rPr>
          <w:rFonts w:ascii="Times New Roman" w:hAnsi="Times New Roman"/>
        </w:rPr>
        <w:t>,</w:t>
      </w:r>
      <w:r w:rsidR="002C1864">
        <w:rPr>
          <w:rFonts w:ascii="Times New Roman" w:hAnsi="Times New Roman"/>
        </w:rPr>
        <w:t xml:space="preserve"> na teret Bjelovarsko-bilogorske županije</w:t>
      </w:r>
      <w:r w:rsidR="00517CBE" w:rsidRPr="002C1864">
        <w:rPr>
          <w:rFonts w:ascii="Times New Roman" w:hAnsi="Times New Roman"/>
        </w:rPr>
        <w:t xml:space="preserve">. </w:t>
      </w:r>
    </w:p>
    <w:p w14:paraId="04774D0C" w14:textId="77777777" w:rsidR="00307158" w:rsidRPr="002C1864" w:rsidRDefault="00307158" w:rsidP="00307158">
      <w:pPr>
        <w:jc w:val="both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2C1864" w:rsidRPr="00E55B2F" w14:paraId="3B2EEBAA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6FD37F6D" w14:textId="40369AE6" w:rsidR="002C1864" w:rsidRPr="00CD027A" w:rsidRDefault="002C1864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B64F8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1FCC7009" w14:textId="20DAD743" w:rsidR="002C1864" w:rsidRPr="00CD027A" w:rsidRDefault="002C1864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B64F8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00F2D16E" w14:textId="1D0CA1EC" w:rsidR="002C1864" w:rsidRPr="00CD027A" w:rsidRDefault="002C1864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B64F8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7E59195C" w14:textId="77777777" w:rsidR="002C1864" w:rsidRPr="00CD027A" w:rsidRDefault="002C1864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C1864" w:rsidRPr="00E55B2F" w14:paraId="3CE16F0C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1213A6E9" w14:textId="1314BAC5" w:rsidR="002C1864" w:rsidRPr="00E55B2F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  <w:r w:rsidR="002C1864">
              <w:rPr>
                <w:rFonts w:ascii="Times New Roman" w:hAnsi="Times New Roman"/>
              </w:rPr>
              <w:t>.000,00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16F6FD6E" w14:textId="4B6D86C2" w:rsidR="002C1864" w:rsidRPr="00E55B2F" w:rsidRDefault="002C1864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64F85">
              <w:rPr>
                <w:rFonts w:ascii="Times New Roman" w:hAnsi="Times New Roman"/>
              </w:rPr>
              <w:t>75</w:t>
            </w:r>
            <w:r>
              <w:rPr>
                <w:rFonts w:ascii="Times New Roman" w:hAnsi="Times New Roman"/>
              </w:rPr>
              <w:t>.000,00</w:t>
            </w:r>
          </w:p>
        </w:tc>
        <w:tc>
          <w:tcPr>
            <w:tcW w:w="2174" w:type="dxa"/>
          </w:tcPr>
          <w:p w14:paraId="1C653510" w14:textId="1ECACA68" w:rsidR="002C1864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214.990,56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1B160F4" w14:textId="0039B8A9" w:rsidR="002C1864" w:rsidRPr="00E55B2F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78,18</w:t>
            </w:r>
          </w:p>
        </w:tc>
      </w:tr>
    </w:tbl>
    <w:p w14:paraId="2F6DE352" w14:textId="77777777" w:rsidR="00517CBE" w:rsidRPr="00E55B2F" w:rsidRDefault="00517CBE" w:rsidP="002C1864">
      <w:pPr>
        <w:spacing w:line="360" w:lineRule="auto"/>
        <w:jc w:val="both"/>
        <w:rPr>
          <w:rFonts w:ascii="Times New Roman" w:hAnsi="Times New Roman"/>
        </w:rPr>
      </w:pPr>
    </w:p>
    <w:p w14:paraId="25B690F7" w14:textId="77777777" w:rsidR="00517CBE" w:rsidRPr="00E55B2F" w:rsidRDefault="00517CBE" w:rsidP="00517CBE">
      <w:pPr>
        <w:jc w:val="both"/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 xml:space="preserve">A000285 </w:t>
      </w:r>
      <w:r w:rsidRPr="0086376D">
        <w:rPr>
          <w:rFonts w:ascii="Times New Roman" w:hAnsi="Times New Roman"/>
          <w:b/>
        </w:rPr>
        <w:t xml:space="preserve">– </w:t>
      </w:r>
      <w:r w:rsidRPr="009B1403">
        <w:rPr>
          <w:rFonts w:ascii="Times New Roman" w:hAnsi="Times New Roman"/>
          <w:i/>
        </w:rPr>
        <w:t>Redovna djelatnost JU Zavoda za prostorno uređenje -VS korisnika</w:t>
      </w:r>
    </w:p>
    <w:p w14:paraId="67E414D7" w14:textId="551A4CFF" w:rsidR="00517CBE" w:rsidRDefault="00517CBE" w:rsidP="00517CB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Planirana vlastita sredstva</w:t>
      </w:r>
      <w:r w:rsidR="00891880">
        <w:rPr>
          <w:rFonts w:ascii="Times New Roman" w:hAnsi="Times New Roman"/>
        </w:rPr>
        <w:t xml:space="preserve"> JU</w:t>
      </w:r>
      <w:r w:rsidRPr="00E55B2F">
        <w:rPr>
          <w:rFonts w:ascii="Times New Roman" w:hAnsi="Times New Roman"/>
        </w:rPr>
        <w:t xml:space="preserve"> Zavoda</w:t>
      </w:r>
      <w:r>
        <w:rPr>
          <w:rFonts w:ascii="Times New Roman" w:hAnsi="Times New Roman"/>
        </w:rPr>
        <w:t xml:space="preserve"> </w:t>
      </w:r>
      <w:r w:rsidR="00307158">
        <w:rPr>
          <w:rFonts w:ascii="Times New Roman" w:hAnsi="Times New Roman"/>
        </w:rPr>
        <w:t xml:space="preserve">u iznosu </w:t>
      </w:r>
      <w:r w:rsidR="00B64F85">
        <w:rPr>
          <w:rFonts w:ascii="Times New Roman" w:hAnsi="Times New Roman"/>
        </w:rPr>
        <w:t>17.098</w:t>
      </w:r>
      <w:r w:rsidR="00307158">
        <w:rPr>
          <w:rFonts w:ascii="Times New Roman" w:hAnsi="Times New Roman"/>
        </w:rPr>
        <w:t xml:space="preserve">,00 € </w:t>
      </w:r>
      <w:r>
        <w:rPr>
          <w:rFonts w:ascii="Times New Roman" w:hAnsi="Times New Roman"/>
        </w:rPr>
        <w:t>za podmirivanje</w:t>
      </w:r>
      <w:r w:rsidR="00307158">
        <w:rPr>
          <w:rFonts w:ascii="Times New Roman" w:hAnsi="Times New Roman"/>
        </w:rPr>
        <w:t xml:space="preserve"> dijela</w:t>
      </w:r>
      <w:r w:rsidRPr="00E55B2F">
        <w:rPr>
          <w:rFonts w:ascii="Times New Roman" w:hAnsi="Times New Roman"/>
        </w:rPr>
        <w:t xml:space="preserve"> redovnih materijalnih</w:t>
      </w:r>
      <w:r w:rsidR="00307158">
        <w:rPr>
          <w:rFonts w:ascii="Times New Roman" w:hAnsi="Times New Roman"/>
        </w:rPr>
        <w:t xml:space="preserve"> i financijskih</w:t>
      </w:r>
      <w:r w:rsidRPr="00E55B2F">
        <w:rPr>
          <w:rFonts w:ascii="Times New Roman" w:hAnsi="Times New Roman"/>
        </w:rPr>
        <w:t xml:space="preserve"> rashoda </w:t>
      </w:r>
      <w:r w:rsidR="00307158">
        <w:rPr>
          <w:rFonts w:ascii="Times New Roman" w:hAnsi="Times New Roman"/>
        </w:rPr>
        <w:t xml:space="preserve">ostvarena su u iznosu </w:t>
      </w:r>
      <w:r w:rsidR="00B64F85">
        <w:rPr>
          <w:rFonts w:ascii="Times New Roman" w:hAnsi="Times New Roman"/>
        </w:rPr>
        <w:t>10.756,45</w:t>
      </w:r>
      <w:r w:rsidR="00307158">
        <w:rPr>
          <w:rFonts w:ascii="Times New Roman" w:hAnsi="Times New Roman"/>
        </w:rPr>
        <w:t xml:space="preserve"> € ili 6</w:t>
      </w:r>
      <w:r w:rsidR="00B64F85">
        <w:rPr>
          <w:rFonts w:ascii="Times New Roman" w:hAnsi="Times New Roman"/>
        </w:rPr>
        <w:t>2</w:t>
      </w:r>
      <w:r w:rsidR="00307158">
        <w:rPr>
          <w:rFonts w:ascii="Times New Roman" w:hAnsi="Times New Roman"/>
        </w:rPr>
        <w:t>,</w:t>
      </w:r>
      <w:r w:rsidR="00B64F85">
        <w:rPr>
          <w:rFonts w:ascii="Times New Roman" w:hAnsi="Times New Roman"/>
        </w:rPr>
        <w:t>91</w:t>
      </w:r>
      <w:r w:rsidR="00307158">
        <w:rPr>
          <w:rFonts w:ascii="Times New Roman" w:hAnsi="Times New Roman"/>
        </w:rPr>
        <w:t>% od plana</w:t>
      </w:r>
      <w:r w:rsidRPr="00E55B2F">
        <w:rPr>
          <w:rFonts w:ascii="Times New Roman" w:hAnsi="Times New Roman"/>
        </w:rPr>
        <w:t xml:space="preserve">. </w:t>
      </w:r>
      <w:r w:rsidRPr="00E55B2F">
        <w:rPr>
          <w:rFonts w:ascii="Times New Roman" w:hAnsi="Times New Roman"/>
          <w:color w:val="FF0000"/>
        </w:rPr>
        <w:t xml:space="preserve"> </w:t>
      </w:r>
    </w:p>
    <w:p w14:paraId="34007664" w14:textId="77777777" w:rsidR="00307158" w:rsidRPr="00E55B2F" w:rsidRDefault="00307158" w:rsidP="00517CB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307158" w:rsidRPr="00E55B2F" w14:paraId="123C6889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10CA9E97" w14:textId="6D9D52D6" w:rsidR="00307158" w:rsidRPr="00CD027A" w:rsidRDefault="00307158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B64F8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4832CC8A" w14:textId="0ED52849" w:rsidR="00307158" w:rsidRPr="00CD027A" w:rsidRDefault="00307158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B64F8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5FDDA11F" w14:textId="51E53B8A" w:rsidR="00307158" w:rsidRPr="00CD027A" w:rsidRDefault="00307158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B64F8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547B1E0B" w14:textId="77777777" w:rsidR="00307158" w:rsidRPr="00CD027A" w:rsidRDefault="00307158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07158" w:rsidRPr="00E55B2F" w14:paraId="55E4CCC1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32830FC2" w14:textId="20DF1C4C" w:rsidR="00307158" w:rsidRPr="00E55B2F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17.098</w:t>
            </w:r>
            <w:r w:rsidR="00307158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690063F5" w14:textId="676EFE6F" w:rsidR="00307158" w:rsidRPr="00E55B2F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17.098</w:t>
            </w:r>
            <w:r w:rsidR="00307158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4F07B014" w14:textId="5674D57E" w:rsidR="00307158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10.756,45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4FAD5B1" w14:textId="30FA80AD" w:rsidR="00307158" w:rsidRPr="00E55B2F" w:rsidRDefault="00B64F85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62,91</w:t>
            </w:r>
          </w:p>
        </w:tc>
      </w:tr>
    </w:tbl>
    <w:p w14:paraId="458FDFDB" w14:textId="71FE8EF3" w:rsidR="00517CBE" w:rsidRDefault="00517CBE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1C3B2CCB" w14:textId="38DBE681" w:rsidR="00CA0D44" w:rsidRPr="00E55B2F" w:rsidRDefault="00891880" w:rsidP="00CA0D44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T</w:t>
      </w:r>
      <w:r w:rsidR="00CA0D44" w:rsidRPr="00E55B2F">
        <w:rPr>
          <w:rFonts w:ascii="Times New Roman" w:hAnsi="Times New Roman"/>
          <w:b/>
        </w:rPr>
        <w:t>000</w:t>
      </w:r>
      <w:r w:rsidR="00CA0D44">
        <w:rPr>
          <w:rFonts w:ascii="Times New Roman" w:hAnsi="Times New Roman"/>
          <w:b/>
        </w:rPr>
        <w:t>183</w:t>
      </w:r>
      <w:r w:rsidR="00CA0D44" w:rsidRPr="00E55B2F">
        <w:rPr>
          <w:rFonts w:ascii="Times New Roman" w:hAnsi="Times New Roman"/>
          <w:b/>
        </w:rPr>
        <w:t xml:space="preserve"> </w:t>
      </w:r>
      <w:r w:rsidR="00CA0D44" w:rsidRPr="0086376D">
        <w:rPr>
          <w:rFonts w:ascii="Times New Roman" w:hAnsi="Times New Roman"/>
          <w:b/>
        </w:rPr>
        <w:t xml:space="preserve">– </w:t>
      </w:r>
      <w:r w:rsidR="00CA0D44">
        <w:rPr>
          <w:rFonts w:ascii="Times New Roman" w:hAnsi="Times New Roman"/>
          <w:i/>
        </w:rPr>
        <w:t xml:space="preserve">Analiza stanja u prostoru rijetko naseljenih ruralnih </w:t>
      </w:r>
      <w:r>
        <w:rPr>
          <w:rFonts w:ascii="Times New Roman" w:hAnsi="Times New Roman"/>
          <w:i/>
        </w:rPr>
        <w:t>područja</w:t>
      </w:r>
      <w:r w:rsidR="00CA0D44" w:rsidRPr="009B1403">
        <w:rPr>
          <w:rFonts w:ascii="Times New Roman" w:hAnsi="Times New Roman"/>
          <w:i/>
        </w:rPr>
        <w:t xml:space="preserve"> </w:t>
      </w:r>
    </w:p>
    <w:p w14:paraId="25323599" w14:textId="11C35891" w:rsidR="00CA0D44" w:rsidRPr="00E55B2F" w:rsidRDefault="00CA0D44" w:rsidP="00CA0D4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 okviru navedenog projekta planir</w:t>
      </w:r>
      <w:r w:rsidR="00807712">
        <w:rPr>
          <w:rFonts w:ascii="Times New Roman" w:hAnsi="Times New Roman"/>
        </w:rPr>
        <w:t>ana</w:t>
      </w:r>
      <w:r>
        <w:rPr>
          <w:rFonts w:ascii="Times New Roman" w:hAnsi="Times New Roman"/>
        </w:rPr>
        <w:t xml:space="preserve"> s</w:t>
      </w:r>
      <w:r w:rsidR="00807712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sredstva za zaposlene, obzirom da se stručno analitički poslovi iz područja prostornog uređenja za Ministarstvo prostornog uređenja, graditeljstva i državne imovine financiraju iz državnog proračuna</w:t>
      </w:r>
      <w:r w:rsidRPr="00E55B2F">
        <w:rPr>
          <w:rFonts w:ascii="Times New Roman" w:hAnsi="Times New Roman"/>
        </w:rPr>
        <w:t xml:space="preserve">. </w:t>
      </w:r>
      <w:r w:rsidRPr="00E55B2F">
        <w:rPr>
          <w:rFonts w:ascii="Times New Roman" w:hAnsi="Times New Roman"/>
          <w:color w:val="FF0000"/>
        </w:rPr>
        <w:t xml:space="preserve"> </w:t>
      </w:r>
    </w:p>
    <w:p w14:paraId="4DBEE91A" w14:textId="300168C8" w:rsidR="00CA0D44" w:rsidRDefault="00CA0D44" w:rsidP="00A82969">
      <w:pPr>
        <w:rPr>
          <w:rFonts w:ascii="Times New Roman" w:hAnsi="Times New Roman"/>
          <w:b/>
          <w:i/>
          <w:szCs w:val="24"/>
          <w:lang w:val="hr-H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807712" w:rsidRPr="00E55B2F" w14:paraId="388D44E6" w14:textId="77777777" w:rsidTr="005A5440">
        <w:trPr>
          <w:trHeight w:val="322"/>
        </w:trPr>
        <w:tc>
          <w:tcPr>
            <w:tcW w:w="2559" w:type="dxa"/>
            <w:shd w:val="clear" w:color="auto" w:fill="B5C0D8"/>
          </w:tcPr>
          <w:p w14:paraId="5D6A73A6" w14:textId="77777777" w:rsidR="00807712" w:rsidRPr="00CD027A" w:rsidRDefault="00807712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57E38B55" w14:textId="77777777" w:rsidR="00807712" w:rsidRPr="00CD027A" w:rsidRDefault="00807712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174" w:type="dxa"/>
            <w:shd w:val="clear" w:color="auto" w:fill="B5C0D8"/>
          </w:tcPr>
          <w:p w14:paraId="4F652886" w14:textId="77777777" w:rsidR="00807712" w:rsidRPr="00CD027A" w:rsidRDefault="00807712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Izvršenje 2024. </w:t>
            </w:r>
          </w:p>
        </w:tc>
        <w:tc>
          <w:tcPr>
            <w:tcW w:w="2335" w:type="dxa"/>
            <w:shd w:val="clear" w:color="auto" w:fill="B5C0D8"/>
          </w:tcPr>
          <w:p w14:paraId="76D0850D" w14:textId="77777777" w:rsidR="00807712" w:rsidRPr="00CD027A" w:rsidRDefault="00807712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807712" w:rsidRPr="00E55B2F" w14:paraId="7B502911" w14:textId="77777777" w:rsidTr="005A5440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1E990B17" w14:textId="276D16C4" w:rsidR="00807712" w:rsidRPr="00E55B2F" w:rsidRDefault="00807712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11.902,00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704B3B88" w14:textId="0119CBA9" w:rsidR="00807712" w:rsidRPr="00E55B2F" w:rsidRDefault="00807712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11.902,00</w:t>
            </w:r>
          </w:p>
        </w:tc>
        <w:tc>
          <w:tcPr>
            <w:tcW w:w="2174" w:type="dxa"/>
          </w:tcPr>
          <w:p w14:paraId="1137C9DE" w14:textId="37967D68" w:rsidR="00807712" w:rsidRDefault="00807712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8.231,68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4480E0F" w14:textId="252B95A9" w:rsidR="00807712" w:rsidRPr="00E55B2F" w:rsidRDefault="00807712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69,16</w:t>
            </w:r>
          </w:p>
        </w:tc>
      </w:tr>
    </w:tbl>
    <w:p w14:paraId="411D8E6F" w14:textId="25EE00A2" w:rsidR="00CA0D44" w:rsidRDefault="00CA0D44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3B8BA2EF" w14:textId="77777777" w:rsidR="00517CBE" w:rsidRDefault="00517CBE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76F68483" w14:textId="77777777" w:rsidR="00691CBB" w:rsidRDefault="00691CBB" w:rsidP="00691CBB">
      <w:pPr>
        <w:rPr>
          <w:rFonts w:ascii="Times New Roman" w:hAnsi="Times New Roman"/>
          <w:b/>
          <w:szCs w:val="24"/>
        </w:rPr>
      </w:pPr>
      <w:r w:rsidRPr="00824A75">
        <w:rPr>
          <w:rFonts w:ascii="Times New Roman" w:hAnsi="Times New Roman"/>
          <w:b/>
          <w:szCs w:val="24"/>
        </w:rPr>
        <w:t>POKAZATELJI USPJEŠNOSTI</w:t>
      </w:r>
      <w:r>
        <w:rPr>
          <w:rFonts w:ascii="Times New Roman" w:hAnsi="Times New Roman"/>
          <w:b/>
          <w:szCs w:val="24"/>
        </w:rPr>
        <w:t xml:space="preserve"> (na razini programa)</w:t>
      </w:r>
      <w:r w:rsidRPr="00824A75">
        <w:rPr>
          <w:rFonts w:ascii="Times New Roman" w:hAnsi="Times New Roman"/>
          <w:b/>
          <w:szCs w:val="24"/>
        </w:rPr>
        <w:t>:</w:t>
      </w:r>
    </w:p>
    <w:p w14:paraId="6A467FB0" w14:textId="77777777" w:rsidR="00691CBB" w:rsidRDefault="00691CBB" w:rsidP="00691CBB">
      <w:pPr>
        <w:rPr>
          <w:rFonts w:ascii="Times New Roman" w:hAnsi="Times New Roman"/>
          <w:b/>
          <w:szCs w:val="24"/>
        </w:rPr>
      </w:pP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1417"/>
        <w:gridCol w:w="1560"/>
        <w:gridCol w:w="1419"/>
      </w:tblGrid>
      <w:tr w:rsidR="00691CBB" w:rsidRPr="00CD027A" w14:paraId="4363D7BE" w14:textId="77777777" w:rsidTr="00691CBB">
        <w:trPr>
          <w:trHeight w:val="25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D9D6492" w14:textId="77777777" w:rsidR="00691CBB" w:rsidRPr="00CD027A" w:rsidRDefault="00691CBB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A280285" w14:textId="77777777" w:rsidR="00691CBB" w:rsidRPr="00CD027A" w:rsidRDefault="00691CBB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BF554C0" w14:textId="77777777" w:rsidR="00691CBB" w:rsidRPr="00CD027A" w:rsidRDefault="00691CBB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DC11893" w14:textId="77777777" w:rsidR="00691CBB" w:rsidRPr="00CD027A" w:rsidRDefault="00691CBB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3D89C8B" w14:textId="0AAAE498" w:rsidR="00691CBB" w:rsidRPr="00CD027A" w:rsidRDefault="00691CBB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B64F85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7FA2B82" w14:textId="5F7A2D6C" w:rsidR="00691CBB" w:rsidRPr="00CD027A" w:rsidRDefault="00691CBB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B64F85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691CBB" w14:paraId="25CF1CF2" w14:textId="77777777" w:rsidTr="006D2440">
        <w:trPr>
          <w:trHeight w:val="862"/>
        </w:trPr>
        <w:tc>
          <w:tcPr>
            <w:tcW w:w="1838" w:type="dxa"/>
            <w:vAlign w:val="center"/>
          </w:tcPr>
          <w:p w14:paraId="685872BB" w14:textId="77777777" w:rsidR="00691CBB" w:rsidRPr="00D1786D" w:rsidRDefault="00691CBB" w:rsidP="00691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Izvršenje planiranih aktivnosti</w:t>
            </w:r>
          </w:p>
        </w:tc>
        <w:tc>
          <w:tcPr>
            <w:tcW w:w="2126" w:type="dxa"/>
            <w:vAlign w:val="center"/>
          </w:tcPr>
          <w:p w14:paraId="2436608E" w14:textId="77777777" w:rsidR="00691CBB" w:rsidRPr="00D1786D" w:rsidRDefault="00691CBB" w:rsidP="00691CBB">
            <w:pPr>
              <w:jc w:val="center"/>
              <w:rPr>
                <w:rFonts w:ascii="Times New Roman" w:hAnsi="Times New Roman" w:cs="Times New Roman"/>
              </w:rPr>
            </w:pPr>
            <w:r w:rsidRPr="000B45D0">
              <w:rPr>
                <w:rFonts w:ascii="Times New Roman" w:hAnsi="Times New Roman" w:cs="Times New Roman"/>
              </w:rPr>
              <w:t>Pokazatelj se odnosi na plan rada JU ZZPU BBŽ</w:t>
            </w:r>
          </w:p>
        </w:tc>
        <w:tc>
          <w:tcPr>
            <w:tcW w:w="1418" w:type="dxa"/>
            <w:vAlign w:val="center"/>
          </w:tcPr>
          <w:p w14:paraId="5522DB49" w14:textId="77777777" w:rsidR="00691CBB" w:rsidRPr="00830FBB" w:rsidRDefault="00691CBB" w:rsidP="00691CB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35436619" w14:textId="77777777" w:rsidR="00691CBB" w:rsidRPr="00830FBB" w:rsidRDefault="00691CBB" w:rsidP="00691CB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1560" w:type="dxa"/>
            <w:vAlign w:val="center"/>
          </w:tcPr>
          <w:p w14:paraId="75B09A1B" w14:textId="77777777" w:rsidR="00691CBB" w:rsidRPr="00830FBB" w:rsidRDefault="00691CBB" w:rsidP="00691CB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419" w:type="dxa"/>
            <w:vAlign w:val="center"/>
          </w:tcPr>
          <w:p w14:paraId="1314F386" w14:textId="04979C7D" w:rsidR="00691CBB" w:rsidRPr="00830FBB" w:rsidRDefault="00B64F85" w:rsidP="00691CB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76</w:t>
            </w:r>
          </w:p>
        </w:tc>
      </w:tr>
    </w:tbl>
    <w:p w14:paraId="15962B69" w14:textId="77777777" w:rsidR="00691CBB" w:rsidRDefault="00691CBB" w:rsidP="00691CBB">
      <w:pPr>
        <w:rPr>
          <w:rFonts w:ascii="Times New Roman" w:hAnsi="Times New Roman"/>
        </w:rPr>
      </w:pPr>
    </w:p>
    <w:p w14:paraId="3D0C172A" w14:textId="77777777" w:rsidR="00691CBB" w:rsidRDefault="00691CBB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13E16CB2" w14:textId="77777777" w:rsidR="00691CBB" w:rsidRDefault="00691CBB" w:rsidP="00691CBB">
      <w:pPr>
        <w:rPr>
          <w:rFonts w:ascii="Times New Roman" w:hAnsi="Times New Roman"/>
          <w:b/>
          <w:i/>
          <w:szCs w:val="24"/>
        </w:rPr>
      </w:pPr>
      <w:r w:rsidRPr="00545D52">
        <w:rPr>
          <w:rFonts w:ascii="Times New Roman" w:hAnsi="Times New Roman"/>
          <w:b/>
          <w:i/>
          <w:szCs w:val="24"/>
        </w:rPr>
        <w:t>Glava: 00502 Zaštita okoliša i zaštita prirode</w:t>
      </w:r>
    </w:p>
    <w:p w14:paraId="4A139240" w14:textId="77777777" w:rsidR="00691CBB" w:rsidRPr="00545D52" w:rsidRDefault="00691CBB" w:rsidP="00691CBB">
      <w:pPr>
        <w:rPr>
          <w:rFonts w:ascii="Times New Roman" w:hAnsi="Times New Roman"/>
          <w:b/>
          <w:i/>
          <w:szCs w:val="24"/>
        </w:rPr>
      </w:pPr>
    </w:p>
    <w:p w14:paraId="6BDE73D2" w14:textId="77777777" w:rsidR="00691CBB" w:rsidRPr="00691CBB" w:rsidRDefault="00691CBB" w:rsidP="00691CBB">
      <w:pPr>
        <w:rPr>
          <w:rFonts w:ascii="Times New Roman" w:hAnsi="Times New Roman"/>
          <w:i/>
          <w:caps/>
          <w:szCs w:val="24"/>
        </w:rPr>
      </w:pPr>
      <w:r w:rsidRPr="00691CBB">
        <w:rPr>
          <w:rFonts w:ascii="Times New Roman" w:hAnsi="Times New Roman"/>
          <w:i/>
          <w:caps/>
          <w:szCs w:val="24"/>
        </w:rPr>
        <w:t>NAZIV PROGRAMA: 1027 Redovna djelatnost JU za upravljanje zaštićenim prirodnim vrijednostima</w:t>
      </w:r>
    </w:p>
    <w:p w14:paraId="500E1F92" w14:textId="77777777" w:rsidR="00691CBB" w:rsidRPr="00E55B2F" w:rsidRDefault="00691CBB" w:rsidP="00691CBB">
      <w:pPr>
        <w:rPr>
          <w:rFonts w:ascii="Times New Roman" w:hAnsi="Times New Roman"/>
          <w:b/>
        </w:rPr>
      </w:pPr>
    </w:p>
    <w:p w14:paraId="48DE0D9D" w14:textId="77777777" w:rsidR="00691CBB" w:rsidRPr="00E55B2F" w:rsidRDefault="00691CBB" w:rsidP="00691CBB">
      <w:pPr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OPIS PROGRAMA:</w:t>
      </w:r>
    </w:p>
    <w:p w14:paraId="09BD1741" w14:textId="77777777" w:rsidR="00691CBB" w:rsidRPr="00E55B2F" w:rsidRDefault="00691CBB" w:rsidP="00691CBB">
      <w:p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U okviru Programa osigurana su sredstva za financiranje redovne djelatnosti Javne ustanove za upravljanje zaštićenim dijelovima prirode Bjelovarsko-bilogorske županije. Redovna djelatnost Javne ustanove obuhvaća</w:t>
      </w:r>
      <w:r>
        <w:rPr>
          <w:rFonts w:ascii="Times New Roman" w:hAnsi="Times New Roman"/>
        </w:rPr>
        <w:t>:</w:t>
      </w:r>
    </w:p>
    <w:p w14:paraId="3631DC93" w14:textId="77777777" w:rsidR="00691CBB" w:rsidRPr="00E55B2F" w:rsidRDefault="00691CBB" w:rsidP="00691CBB">
      <w:pPr>
        <w:pStyle w:val="Odlomakpopisa"/>
        <w:numPr>
          <w:ilvl w:val="0"/>
          <w:numId w:val="18"/>
        </w:numPr>
        <w:ind w:left="709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zaštitu, održavanje i promicanje zaštićenih dijelova prirode (zaštićena područja, vrste, minerali i fosili),</w:t>
      </w:r>
    </w:p>
    <w:p w14:paraId="31E7C394" w14:textId="77777777" w:rsidR="00691CBB" w:rsidRPr="00E55B2F" w:rsidRDefault="00691CBB" w:rsidP="00691CBB">
      <w:pPr>
        <w:pStyle w:val="Odlomakpopisa"/>
        <w:numPr>
          <w:ilvl w:val="0"/>
          <w:numId w:val="20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upravljanje zaštićenim područjima i područjima ekološke mreže na području Bjelovarsko-bilogorske županije sukladno Zakonu o zaštiti prirode,</w:t>
      </w:r>
    </w:p>
    <w:p w14:paraId="2346C5E1" w14:textId="77777777" w:rsidR="00691CBB" w:rsidRPr="00E55B2F" w:rsidRDefault="00691CBB" w:rsidP="00691CBB">
      <w:pPr>
        <w:pStyle w:val="Odlomakpopisa"/>
        <w:numPr>
          <w:ilvl w:val="0"/>
          <w:numId w:val="20"/>
        </w:numPr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nadzor provođenja uvjeta i mjera zaštite prirode na području Bjelovarsko-bilogorske županije,</w:t>
      </w:r>
    </w:p>
    <w:p w14:paraId="6D221CA8" w14:textId="77777777" w:rsidR="00691CBB" w:rsidRPr="004F1361" w:rsidRDefault="00691CBB" w:rsidP="00691CBB">
      <w:pPr>
        <w:pStyle w:val="Odlomakpopisa"/>
        <w:numPr>
          <w:ilvl w:val="0"/>
          <w:numId w:val="20"/>
        </w:numPr>
        <w:spacing w:after="160"/>
        <w:jc w:val="both"/>
        <w:rPr>
          <w:rFonts w:ascii="Times New Roman" w:hAnsi="Times New Roman"/>
          <w:b/>
        </w:rPr>
      </w:pPr>
      <w:r w:rsidRPr="00E55B2F">
        <w:rPr>
          <w:rFonts w:ascii="Times New Roman" w:hAnsi="Times New Roman"/>
        </w:rPr>
        <w:t>sudjelovanje u prikupljanju podataka u svrhu praćenja stanja očuvanosti prirode.</w:t>
      </w:r>
    </w:p>
    <w:p w14:paraId="54400944" w14:textId="6726A9D1" w:rsidR="004F1361" w:rsidRPr="004F1361" w:rsidRDefault="004F1361" w:rsidP="004F1361">
      <w:pPr>
        <w:spacing w:after="160"/>
        <w:jc w:val="both"/>
        <w:rPr>
          <w:rFonts w:ascii="Times New Roman" w:hAnsi="Times New Roman"/>
          <w:b/>
        </w:rPr>
      </w:pPr>
      <w:r w:rsidRPr="004F1361">
        <w:rPr>
          <w:rFonts w:ascii="Times New Roman" w:hAnsi="Times New Roman"/>
          <w:b/>
        </w:rPr>
        <w:lastRenderedPageBreak/>
        <w:t>IZVRŠENJE PROGRAMA S</w:t>
      </w:r>
      <w:r w:rsidR="00891880">
        <w:rPr>
          <w:rFonts w:ascii="Times New Roman" w:hAnsi="Times New Roman"/>
          <w:b/>
        </w:rPr>
        <w:t>A</w:t>
      </w:r>
      <w:r w:rsidRPr="004F1361">
        <w:rPr>
          <w:rFonts w:ascii="Times New Roman" w:hAnsi="Times New Roman"/>
          <w:b/>
        </w:rPr>
        <w:t xml:space="preserve"> OSVRTOM NA CILJEVE KOJI SU OSTVARENI NJEGOVOM PROVEDBOM</w:t>
      </w:r>
    </w:p>
    <w:p w14:paraId="37B0529D" w14:textId="74B59769" w:rsidR="004F1361" w:rsidRPr="004F1361" w:rsidRDefault="004F1361" w:rsidP="004F1361">
      <w:pPr>
        <w:spacing w:after="160"/>
        <w:jc w:val="both"/>
        <w:rPr>
          <w:rFonts w:ascii="Times New Roman" w:hAnsi="Times New Roman"/>
        </w:rPr>
      </w:pPr>
      <w:r w:rsidRPr="004F1361">
        <w:rPr>
          <w:rFonts w:ascii="Times New Roman" w:hAnsi="Times New Roman"/>
        </w:rPr>
        <w:t xml:space="preserve">Izvršenje Programa </w:t>
      </w:r>
      <w:r w:rsidRPr="00193A0B">
        <w:rPr>
          <w:rFonts w:ascii="Times New Roman" w:hAnsi="Times New Roman"/>
          <w:i/>
        </w:rPr>
        <w:t xml:space="preserve">Redovna djelatnost JU za </w:t>
      </w:r>
      <w:r w:rsidR="00193A0B" w:rsidRPr="00193A0B">
        <w:rPr>
          <w:rFonts w:ascii="Times New Roman" w:hAnsi="Times New Roman"/>
          <w:i/>
        </w:rPr>
        <w:t xml:space="preserve">upravljanje zaštićenim prirodnim vrijednstima </w:t>
      </w:r>
      <w:r w:rsidRPr="004F1361">
        <w:rPr>
          <w:rFonts w:ascii="Times New Roman" w:hAnsi="Times New Roman"/>
        </w:rPr>
        <w:t>u 202</w:t>
      </w:r>
      <w:r w:rsidR="00B64F85">
        <w:rPr>
          <w:rFonts w:ascii="Times New Roman" w:hAnsi="Times New Roman"/>
        </w:rPr>
        <w:t>4</w:t>
      </w:r>
      <w:r w:rsidRPr="004F1361">
        <w:rPr>
          <w:rFonts w:ascii="Times New Roman" w:hAnsi="Times New Roman"/>
        </w:rPr>
        <w:t xml:space="preserve">. godini je </w:t>
      </w:r>
      <w:r w:rsidR="00193A0B">
        <w:rPr>
          <w:rFonts w:ascii="Times New Roman" w:hAnsi="Times New Roman"/>
        </w:rPr>
        <w:t>7</w:t>
      </w:r>
      <w:r w:rsidR="00B64F85">
        <w:rPr>
          <w:rFonts w:ascii="Times New Roman" w:hAnsi="Times New Roman"/>
        </w:rPr>
        <w:t>7</w:t>
      </w:r>
      <w:r w:rsidRPr="004F1361">
        <w:rPr>
          <w:rFonts w:ascii="Times New Roman" w:hAnsi="Times New Roman"/>
        </w:rPr>
        <w:t>,</w:t>
      </w:r>
      <w:r w:rsidR="00B64F85">
        <w:rPr>
          <w:rFonts w:ascii="Times New Roman" w:hAnsi="Times New Roman"/>
        </w:rPr>
        <w:t>25</w:t>
      </w:r>
      <w:r w:rsidRPr="004F1361">
        <w:rPr>
          <w:rFonts w:ascii="Times New Roman" w:hAnsi="Times New Roman"/>
        </w:rPr>
        <w:t>% te su time</w:t>
      </w:r>
      <w:r w:rsidR="00B64F85">
        <w:rPr>
          <w:rFonts w:ascii="Times New Roman" w:hAnsi="Times New Roman"/>
        </w:rPr>
        <w:t xml:space="preserve"> uglavnom</w:t>
      </w:r>
      <w:r w:rsidRPr="004F1361">
        <w:rPr>
          <w:rFonts w:ascii="Times New Roman" w:hAnsi="Times New Roman"/>
        </w:rPr>
        <w:t xml:space="preserve"> ostvareni ciljevi </w:t>
      </w:r>
      <w:r w:rsidR="00193A0B">
        <w:rPr>
          <w:rFonts w:ascii="Times New Roman" w:hAnsi="Times New Roman"/>
        </w:rPr>
        <w:t>u smislu redovnog rada Javne ustanove za upravljanje zaštićenim dijelovima prirode Bjelovarsko-bilogorske županije i provođenje projekata sukladno Godišnjem programu</w:t>
      </w:r>
      <w:r w:rsidR="00891880">
        <w:rPr>
          <w:rFonts w:ascii="Times New Roman" w:hAnsi="Times New Roman"/>
        </w:rPr>
        <w:t xml:space="preserve"> Javne ustanove</w:t>
      </w:r>
      <w:r w:rsidR="00193A0B">
        <w:rPr>
          <w:rFonts w:ascii="Times New Roman" w:hAnsi="Times New Roman"/>
        </w:rPr>
        <w:t xml:space="preserve"> i Zakonu o zaštiti prirode</w:t>
      </w:r>
      <w:r w:rsidRPr="004F1361">
        <w:rPr>
          <w:rFonts w:ascii="Times New Roman" w:hAnsi="Times New Roman"/>
        </w:rPr>
        <w:t>.</w:t>
      </w:r>
    </w:p>
    <w:p w14:paraId="025E33DF" w14:textId="77777777" w:rsidR="00691CBB" w:rsidRPr="00E55B2F" w:rsidRDefault="00691CBB" w:rsidP="00691CBB">
      <w:pPr>
        <w:jc w:val="both"/>
        <w:rPr>
          <w:rFonts w:ascii="Times New Roman" w:hAnsi="Times New Roman"/>
        </w:rPr>
      </w:pPr>
    </w:p>
    <w:p w14:paraId="72F89586" w14:textId="77777777" w:rsidR="00691CBB" w:rsidRPr="001422FA" w:rsidRDefault="00691CBB" w:rsidP="00691CBB">
      <w:pPr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 xml:space="preserve">A000070 – </w:t>
      </w:r>
      <w:r w:rsidRPr="001422FA">
        <w:rPr>
          <w:rFonts w:ascii="Times New Roman" w:hAnsi="Times New Roman"/>
          <w:i/>
        </w:rPr>
        <w:t xml:space="preserve">Redovna djelatnost Javne ustanove za upravljanje zaštićenim dijelovima prirode </w:t>
      </w:r>
      <w:r>
        <w:rPr>
          <w:rFonts w:ascii="Times New Roman" w:hAnsi="Times New Roman"/>
          <w:i/>
        </w:rPr>
        <w:t>BBŽ</w:t>
      </w:r>
    </w:p>
    <w:p w14:paraId="458D39A1" w14:textId="78877B29" w:rsidR="00691CBB" w:rsidRDefault="00691CBB" w:rsidP="00691CB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color w:val="FF0000"/>
        </w:rPr>
      </w:pPr>
      <w:r w:rsidRPr="00E55B2F">
        <w:rPr>
          <w:rFonts w:ascii="Times New Roman" w:hAnsi="Times New Roman"/>
        </w:rPr>
        <w:t xml:space="preserve">Za </w:t>
      </w:r>
      <w:r w:rsidRPr="00E55B2F">
        <w:rPr>
          <w:rFonts w:ascii="Times New Roman" w:hAnsi="Times New Roman"/>
          <w:noProof/>
        </w:rPr>
        <w:t>financiranje redovne djelatnosti Javne ustanove plani</w:t>
      </w:r>
      <w:r>
        <w:rPr>
          <w:rFonts w:ascii="Times New Roman" w:hAnsi="Times New Roman"/>
          <w:noProof/>
        </w:rPr>
        <w:t>rano je</w:t>
      </w:r>
      <w:r w:rsidRPr="00E55B2F">
        <w:rPr>
          <w:rFonts w:ascii="Times New Roman" w:hAnsi="Times New Roman"/>
          <w:noProof/>
        </w:rPr>
        <w:t xml:space="preserve"> </w:t>
      </w:r>
      <w:r w:rsidR="00B64F85">
        <w:rPr>
          <w:rFonts w:ascii="Times New Roman" w:hAnsi="Times New Roman"/>
          <w:noProof/>
        </w:rPr>
        <w:t>124.490</w:t>
      </w:r>
      <w:r w:rsidRPr="00E55B2F">
        <w:rPr>
          <w:rFonts w:ascii="Times New Roman" w:hAnsi="Times New Roman"/>
          <w:noProof/>
        </w:rPr>
        <w:t xml:space="preserve">,00 </w:t>
      </w:r>
      <w:r>
        <w:rPr>
          <w:rFonts w:ascii="Times New Roman" w:hAnsi="Times New Roman"/>
          <w:noProof/>
        </w:rPr>
        <w:t>€</w:t>
      </w:r>
      <w:r w:rsidRPr="00E55B2F">
        <w:rPr>
          <w:rFonts w:ascii="Times New Roman" w:hAnsi="Times New Roman"/>
          <w:noProof/>
        </w:rPr>
        <w:t>,</w:t>
      </w:r>
      <w:r w:rsidR="00FD4987">
        <w:rPr>
          <w:rFonts w:ascii="Times New Roman" w:hAnsi="Times New Roman"/>
          <w:noProof/>
        </w:rPr>
        <w:t xml:space="preserve"> a ostvareno je </w:t>
      </w:r>
      <w:r w:rsidR="00E6021F">
        <w:rPr>
          <w:rFonts w:ascii="Times New Roman" w:hAnsi="Times New Roman"/>
          <w:noProof/>
        </w:rPr>
        <w:t>101.674,09</w:t>
      </w:r>
      <w:r w:rsidR="00FD4987">
        <w:rPr>
          <w:rFonts w:ascii="Times New Roman" w:hAnsi="Times New Roman"/>
          <w:noProof/>
        </w:rPr>
        <w:t xml:space="preserve"> € ili 8</w:t>
      </w:r>
      <w:r w:rsidR="00E6021F">
        <w:rPr>
          <w:rFonts w:ascii="Times New Roman" w:hAnsi="Times New Roman"/>
          <w:noProof/>
        </w:rPr>
        <w:t>1</w:t>
      </w:r>
      <w:r w:rsidR="00FD4987">
        <w:rPr>
          <w:rFonts w:ascii="Times New Roman" w:hAnsi="Times New Roman"/>
          <w:noProof/>
        </w:rPr>
        <w:t>,</w:t>
      </w:r>
      <w:r w:rsidR="00E6021F">
        <w:rPr>
          <w:rFonts w:ascii="Times New Roman" w:hAnsi="Times New Roman"/>
          <w:noProof/>
        </w:rPr>
        <w:t>67</w:t>
      </w:r>
      <w:r w:rsidR="00FD4987">
        <w:rPr>
          <w:rFonts w:ascii="Times New Roman" w:hAnsi="Times New Roman"/>
          <w:noProof/>
        </w:rPr>
        <w:t>%. Navedena sredstva su utrošena</w:t>
      </w:r>
      <w:r w:rsidRPr="00E55B2F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>za</w:t>
      </w:r>
      <w:r w:rsidRPr="00E55B2F">
        <w:rPr>
          <w:rFonts w:ascii="Times New Roman" w:hAnsi="Times New Roman"/>
        </w:rPr>
        <w:t xml:space="preserve"> trošak plaća i doprinosa na plaće djelatnika</w:t>
      </w:r>
      <w:r w:rsidR="00E6021F">
        <w:rPr>
          <w:rFonts w:ascii="Times New Roman" w:hAnsi="Times New Roman"/>
        </w:rPr>
        <w:t xml:space="preserve"> Javne ustanove</w:t>
      </w:r>
      <w:r>
        <w:rPr>
          <w:rFonts w:ascii="Times New Roman" w:hAnsi="Times New Roman"/>
        </w:rPr>
        <w:t>,</w:t>
      </w:r>
      <w:r w:rsidRPr="00E55B2F">
        <w:rPr>
          <w:rFonts w:ascii="Times New Roman" w:hAnsi="Times New Roman"/>
        </w:rPr>
        <w:t xml:space="preserve"> ostale rashode za zaposlene, naknade troškova zaposlenima </w:t>
      </w:r>
      <w:r>
        <w:rPr>
          <w:rFonts w:ascii="Times New Roman" w:hAnsi="Times New Roman"/>
        </w:rPr>
        <w:t>te</w:t>
      </w:r>
      <w:r w:rsidRPr="00E55B2F">
        <w:rPr>
          <w:rFonts w:ascii="Times New Roman" w:hAnsi="Times New Roman"/>
        </w:rPr>
        <w:t xml:space="preserve"> za materijalne, financijske i ostale rashode </w:t>
      </w:r>
      <w:r w:rsidR="00E6021F">
        <w:rPr>
          <w:rFonts w:ascii="Times New Roman" w:hAnsi="Times New Roman"/>
        </w:rPr>
        <w:t>poslovanja</w:t>
      </w:r>
      <w:r w:rsidRPr="00E55B2F">
        <w:rPr>
          <w:rFonts w:ascii="Times New Roman" w:hAnsi="Times New Roman"/>
        </w:rPr>
        <w:t xml:space="preserve">. </w:t>
      </w:r>
      <w:r w:rsidRPr="00E55B2F">
        <w:rPr>
          <w:rFonts w:ascii="Times New Roman" w:hAnsi="Times New Roman"/>
          <w:color w:val="FF0000"/>
        </w:rPr>
        <w:t xml:space="preserve"> </w:t>
      </w:r>
    </w:p>
    <w:p w14:paraId="55E8C14F" w14:textId="77777777" w:rsidR="00193A0B" w:rsidRPr="00E55B2F" w:rsidRDefault="00193A0B" w:rsidP="00691CB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193A0B" w:rsidRPr="00E55B2F" w14:paraId="257EAF51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5D4CDC26" w14:textId="1D763082" w:rsidR="00193A0B" w:rsidRPr="00CD027A" w:rsidRDefault="00193A0B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68A67F95" w14:textId="71FED901" w:rsidR="00193A0B" w:rsidRPr="00CD027A" w:rsidRDefault="00193A0B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567978E7" w14:textId="70E63AE7" w:rsidR="00193A0B" w:rsidRPr="00CD027A" w:rsidRDefault="00193A0B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0D2026D7" w14:textId="77777777" w:rsidR="00193A0B" w:rsidRPr="00CD027A" w:rsidRDefault="00193A0B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193A0B" w:rsidRPr="00E55B2F" w14:paraId="5D8361C3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08188C86" w14:textId="4070D96D" w:rsidR="00193A0B" w:rsidRPr="00E55B2F" w:rsidRDefault="00E6021F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124.490</w:t>
            </w:r>
            <w:r w:rsidR="00193A0B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0D398D8" w14:textId="139172F4" w:rsidR="00193A0B" w:rsidRPr="00E55B2F" w:rsidRDefault="00E6021F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124.490</w:t>
            </w:r>
            <w:r w:rsidR="00FD4987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409B57BB" w14:textId="061EB1A6" w:rsidR="00193A0B" w:rsidRDefault="00E6021F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101.674,09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28182CB" w14:textId="57001F83" w:rsidR="00193A0B" w:rsidRPr="00E55B2F" w:rsidRDefault="00E6021F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81,67</w:t>
            </w:r>
          </w:p>
        </w:tc>
      </w:tr>
    </w:tbl>
    <w:p w14:paraId="144A62A4" w14:textId="77777777" w:rsidR="00940114" w:rsidRDefault="00940114" w:rsidP="00940114">
      <w:pPr>
        <w:spacing w:line="360" w:lineRule="auto"/>
        <w:rPr>
          <w:rFonts w:ascii="Times New Roman" w:hAnsi="Times New Roman"/>
        </w:rPr>
      </w:pPr>
    </w:p>
    <w:p w14:paraId="04B6D72B" w14:textId="77777777" w:rsidR="00940114" w:rsidRPr="00EB7D16" w:rsidRDefault="00940114" w:rsidP="00940114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A000395</w:t>
      </w:r>
      <w:r w:rsidRPr="00E55B2F">
        <w:rPr>
          <w:rFonts w:ascii="Times New Roman" w:hAnsi="Times New Roman"/>
          <w:b/>
        </w:rPr>
        <w:t xml:space="preserve"> – </w:t>
      </w:r>
      <w:r w:rsidRPr="001819F2">
        <w:rPr>
          <w:rFonts w:ascii="Times New Roman" w:hAnsi="Times New Roman"/>
          <w:i/>
        </w:rPr>
        <w:t>“</w:t>
      </w:r>
      <w:r w:rsidRPr="001819F2">
        <w:rPr>
          <w:i/>
          <w:color w:val="000000"/>
        </w:rPr>
        <w:t>Akvakultura koja osigurava usluge zaštite okoliša</w:t>
      </w:r>
      <w:r w:rsidRPr="00E40577">
        <w:rPr>
          <w:rFonts w:ascii="Times New Roman" w:hAnsi="Times New Roman"/>
          <w:i/>
        </w:rPr>
        <w:t>”</w:t>
      </w:r>
    </w:p>
    <w:p w14:paraId="756938D3" w14:textId="5D0D56C2" w:rsidR="00940114" w:rsidRPr="00781E5C" w:rsidRDefault="00940114" w:rsidP="00940114">
      <w:pPr>
        <w:pStyle w:val="Zaglavlje"/>
        <w:tabs>
          <w:tab w:val="center" w:pos="-709"/>
          <w:tab w:val="right" w:pos="-426"/>
        </w:tabs>
        <w:jc w:val="both"/>
        <w:rPr>
          <w:color w:val="000000"/>
        </w:rPr>
      </w:pPr>
      <w:r>
        <w:rPr>
          <w:color w:val="000000"/>
        </w:rPr>
        <w:t xml:space="preserve">Od planiranih sredstva za provedbu ovog projekta u iznosu </w:t>
      </w:r>
      <w:r w:rsidR="00E6021F">
        <w:rPr>
          <w:color w:val="000000"/>
        </w:rPr>
        <w:t>9</w:t>
      </w:r>
      <w:r>
        <w:rPr>
          <w:color w:val="000000"/>
        </w:rPr>
        <w:t xml:space="preserve">.000,00 € ostvareno je </w:t>
      </w:r>
      <w:r w:rsidR="00E6021F">
        <w:rPr>
          <w:color w:val="000000"/>
        </w:rPr>
        <w:t>2.453,14</w:t>
      </w:r>
      <w:r>
        <w:rPr>
          <w:color w:val="000000"/>
        </w:rPr>
        <w:t xml:space="preserve"> € ili </w:t>
      </w:r>
      <w:r w:rsidR="00E6021F">
        <w:rPr>
          <w:color w:val="000000"/>
        </w:rPr>
        <w:t>27,26</w:t>
      </w:r>
      <w:r>
        <w:rPr>
          <w:color w:val="000000"/>
        </w:rPr>
        <w:t xml:space="preserve">% od plana. </w:t>
      </w:r>
      <w:r w:rsidRPr="001E7DF0">
        <w:rPr>
          <w:color w:val="000000"/>
        </w:rPr>
        <w:t>Javna ustanova potpisala je s Ministarstvom poljoprivrede Sporazum o suradnji u provedbi mjere II.10 „Akvakultura koja osigurava usluge zaštite okoliš“</w:t>
      </w:r>
      <w:r>
        <w:rPr>
          <w:color w:val="000000"/>
        </w:rPr>
        <w:t>, a</w:t>
      </w:r>
      <w:r w:rsidRPr="001E7DF0">
        <w:rPr>
          <w:color w:val="000000"/>
        </w:rPr>
        <w:t xml:space="preserve"> </w:t>
      </w:r>
      <w:r>
        <w:rPr>
          <w:color w:val="000000"/>
        </w:rPr>
        <w:t>p</w:t>
      </w:r>
      <w:r w:rsidRPr="001E7DF0">
        <w:rPr>
          <w:color w:val="000000"/>
        </w:rPr>
        <w:t xml:space="preserve">redmet suradnje je provjera upravljačkih zahtjeva koji proizlaze iz označavanja područja mreže NATURA 2000 u skladu s Pravilnikom o ciljevima očuvanja i mjerama očuvanja ciljanih vrsta ptica u područjima ekološke mreže. </w:t>
      </w:r>
    </w:p>
    <w:p w14:paraId="60B5FD4C" w14:textId="77777777" w:rsidR="00940114" w:rsidRPr="00781E5C" w:rsidRDefault="00940114" w:rsidP="00940114">
      <w:pPr>
        <w:ind w:firstLine="708"/>
        <w:jc w:val="both"/>
        <w:rPr>
          <w:rFonts w:eastAsiaTheme="minorHAnsi"/>
          <w:bCs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940114" w:rsidRPr="00E55B2F" w14:paraId="43EFA313" w14:textId="77777777" w:rsidTr="0081509E">
        <w:trPr>
          <w:trHeight w:val="322"/>
        </w:trPr>
        <w:tc>
          <w:tcPr>
            <w:tcW w:w="2559" w:type="dxa"/>
            <w:shd w:val="clear" w:color="auto" w:fill="B5C0D8"/>
          </w:tcPr>
          <w:p w14:paraId="40C3362F" w14:textId="47B92FE9" w:rsidR="00940114" w:rsidRPr="00CD027A" w:rsidRDefault="00940114" w:rsidP="0081509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1C02804B" w14:textId="2E31449F" w:rsidR="00940114" w:rsidRPr="00CD027A" w:rsidRDefault="00940114" w:rsidP="0081509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27008135" w14:textId="47FBCEA5" w:rsidR="00940114" w:rsidRPr="00CD027A" w:rsidRDefault="00940114" w:rsidP="0081509E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59699E6D" w14:textId="77777777" w:rsidR="00940114" w:rsidRPr="00CD027A" w:rsidRDefault="00940114" w:rsidP="0081509E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940114" w:rsidRPr="00E55B2F" w14:paraId="2EBB1EAA" w14:textId="77777777" w:rsidTr="0081509E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5B4FE3D2" w14:textId="294E50C1" w:rsidR="00940114" w:rsidRPr="00E55B2F" w:rsidRDefault="00E6021F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940114">
              <w:rPr>
                <w:rFonts w:ascii="Times New Roman" w:hAnsi="Times New Roman"/>
              </w:rPr>
              <w:t>.000,00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22E3D9EA" w14:textId="17631A47" w:rsidR="00940114" w:rsidRPr="00E55B2F" w:rsidRDefault="00E6021F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940114">
              <w:rPr>
                <w:rFonts w:ascii="Times New Roman" w:hAnsi="Times New Roman"/>
              </w:rPr>
              <w:t>.000,00</w:t>
            </w:r>
          </w:p>
        </w:tc>
        <w:tc>
          <w:tcPr>
            <w:tcW w:w="2174" w:type="dxa"/>
          </w:tcPr>
          <w:p w14:paraId="1A2BABB2" w14:textId="0B8EE44F" w:rsidR="00940114" w:rsidRDefault="00E6021F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2.453,14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8667C4C" w14:textId="4B4083BB" w:rsidR="00940114" w:rsidRPr="00E55B2F" w:rsidRDefault="00E6021F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27,26</w:t>
            </w:r>
          </w:p>
        </w:tc>
      </w:tr>
    </w:tbl>
    <w:p w14:paraId="5B943C4B" w14:textId="77777777" w:rsidR="00940114" w:rsidRPr="00E55B2F" w:rsidRDefault="00940114" w:rsidP="00940114">
      <w:pPr>
        <w:spacing w:line="360" w:lineRule="auto"/>
        <w:rPr>
          <w:rFonts w:ascii="Times New Roman" w:hAnsi="Times New Roman"/>
          <w:b/>
        </w:rPr>
      </w:pPr>
    </w:p>
    <w:p w14:paraId="60D9EF99" w14:textId="6A78393A" w:rsidR="00691CBB" w:rsidRPr="00810F0B" w:rsidRDefault="00691CBB" w:rsidP="00691CBB">
      <w:pPr>
        <w:rPr>
          <w:rFonts w:ascii="Times New Roman" w:hAnsi="Times New Roman"/>
          <w:b/>
          <w:i/>
        </w:rPr>
      </w:pPr>
      <w:r w:rsidRPr="00810F0B">
        <w:rPr>
          <w:rFonts w:ascii="Times New Roman" w:hAnsi="Times New Roman"/>
          <w:b/>
        </w:rPr>
        <w:t xml:space="preserve">T000068 – </w:t>
      </w:r>
      <w:r w:rsidRPr="00C76F39">
        <w:rPr>
          <w:rFonts w:ascii="Times New Roman" w:hAnsi="Times New Roman"/>
          <w:i/>
        </w:rPr>
        <w:t>"Bijela roda u BBŽ"</w:t>
      </w:r>
    </w:p>
    <w:p w14:paraId="23C99F12" w14:textId="25AD1073" w:rsidR="00FD4987" w:rsidRDefault="00FD4987" w:rsidP="00691CBB">
      <w:pPr>
        <w:tabs>
          <w:tab w:val="left" w:pos="1134"/>
          <w:tab w:val="left" w:pos="2268"/>
          <w:tab w:val="left" w:pos="4536"/>
        </w:tabs>
        <w:jc w:val="both"/>
        <w:rPr>
          <w:rFonts w:ascii="Times New Roman" w:hAnsi="Times New Roman"/>
          <w:bCs/>
          <w:lang w:val="nl"/>
        </w:rPr>
      </w:pPr>
      <w:r>
        <w:rPr>
          <w:rFonts w:ascii="Times New Roman" w:hAnsi="Times New Roman"/>
          <w:bCs/>
          <w:lang w:val="nl"/>
        </w:rPr>
        <w:t xml:space="preserve">Za ovaj </w:t>
      </w:r>
      <w:r w:rsidR="00691CBB" w:rsidRPr="00B634A1">
        <w:rPr>
          <w:rFonts w:ascii="Times New Roman" w:hAnsi="Times New Roman"/>
          <w:bCs/>
          <w:lang w:val="nl"/>
        </w:rPr>
        <w:t xml:space="preserve">Projekt </w:t>
      </w:r>
      <w:r>
        <w:rPr>
          <w:rFonts w:ascii="Times New Roman" w:hAnsi="Times New Roman"/>
          <w:bCs/>
          <w:lang w:val="nl"/>
        </w:rPr>
        <w:t>planiran je  iznos od 1.</w:t>
      </w:r>
      <w:r w:rsidR="00E6021F">
        <w:rPr>
          <w:rFonts w:ascii="Times New Roman" w:hAnsi="Times New Roman"/>
          <w:bCs/>
          <w:lang w:val="nl"/>
        </w:rPr>
        <w:t>220</w:t>
      </w:r>
      <w:r>
        <w:rPr>
          <w:rFonts w:ascii="Times New Roman" w:hAnsi="Times New Roman"/>
          <w:bCs/>
          <w:lang w:val="nl"/>
        </w:rPr>
        <w:t>,00 € te je ostvaren</w:t>
      </w:r>
      <w:r w:rsidR="00DB55E3">
        <w:rPr>
          <w:rFonts w:ascii="Times New Roman" w:hAnsi="Times New Roman"/>
          <w:bCs/>
          <w:lang w:val="nl"/>
        </w:rPr>
        <w:t xml:space="preserve"> gotovo</w:t>
      </w:r>
      <w:r>
        <w:rPr>
          <w:rFonts w:ascii="Times New Roman" w:hAnsi="Times New Roman"/>
          <w:bCs/>
          <w:lang w:val="nl"/>
        </w:rPr>
        <w:t xml:space="preserve"> u cijelosti, odnosno 1.</w:t>
      </w:r>
      <w:r w:rsidR="00E6021F">
        <w:rPr>
          <w:rFonts w:ascii="Times New Roman" w:hAnsi="Times New Roman"/>
          <w:bCs/>
          <w:lang w:val="nl"/>
        </w:rPr>
        <w:t>207,83</w:t>
      </w:r>
      <w:r>
        <w:rPr>
          <w:rFonts w:ascii="Times New Roman" w:hAnsi="Times New Roman"/>
          <w:bCs/>
          <w:lang w:val="nl"/>
        </w:rPr>
        <w:t xml:space="preserve"> €</w:t>
      </w:r>
      <w:r w:rsidR="00DB55E3">
        <w:rPr>
          <w:rFonts w:ascii="Times New Roman" w:hAnsi="Times New Roman"/>
          <w:bCs/>
          <w:lang w:val="nl"/>
        </w:rPr>
        <w:t xml:space="preserve">. Projekt </w:t>
      </w:r>
      <w:r w:rsidR="00691CBB" w:rsidRPr="00B634A1">
        <w:rPr>
          <w:rFonts w:ascii="Times New Roman" w:hAnsi="Times New Roman"/>
          <w:bCs/>
          <w:lang w:val="nl"/>
        </w:rPr>
        <w:t xml:space="preserve">„Zaštita i očuvanje bijele rode ( Ciconia ciconia )“ </w:t>
      </w:r>
      <w:r w:rsidR="00691CBB">
        <w:rPr>
          <w:rFonts w:ascii="Times New Roman" w:hAnsi="Times New Roman"/>
          <w:bCs/>
          <w:lang w:val="nl"/>
        </w:rPr>
        <w:t>provodi se u</w:t>
      </w:r>
      <w:r w:rsidR="00691CBB" w:rsidRPr="00B634A1">
        <w:rPr>
          <w:rFonts w:ascii="Times New Roman" w:hAnsi="Times New Roman"/>
          <w:bCs/>
          <w:lang w:val="nl"/>
        </w:rPr>
        <w:t xml:space="preserve"> suradnj</w:t>
      </w:r>
      <w:r w:rsidR="00691CBB">
        <w:rPr>
          <w:rFonts w:ascii="Times New Roman" w:hAnsi="Times New Roman"/>
          <w:bCs/>
          <w:lang w:val="nl"/>
        </w:rPr>
        <w:t>i</w:t>
      </w:r>
      <w:r w:rsidR="00DB55E3">
        <w:rPr>
          <w:rFonts w:ascii="Times New Roman" w:hAnsi="Times New Roman"/>
          <w:bCs/>
          <w:lang w:val="nl"/>
        </w:rPr>
        <w:t xml:space="preserve"> </w:t>
      </w:r>
      <w:r w:rsidR="00691CBB" w:rsidRPr="00B634A1">
        <w:rPr>
          <w:rFonts w:ascii="Times New Roman" w:hAnsi="Times New Roman"/>
          <w:bCs/>
          <w:lang w:val="nl"/>
        </w:rPr>
        <w:t xml:space="preserve">Javne ustanove za upravljanje zaštićenim dijelovima prirode </w:t>
      </w:r>
      <w:r w:rsidR="002567B4">
        <w:rPr>
          <w:rFonts w:ascii="Times New Roman" w:hAnsi="Times New Roman"/>
          <w:bCs/>
          <w:lang w:val="nl"/>
        </w:rPr>
        <w:t>BBŽ</w:t>
      </w:r>
      <w:r w:rsidR="00691CBB">
        <w:rPr>
          <w:rFonts w:ascii="Times New Roman" w:hAnsi="Times New Roman"/>
          <w:bCs/>
          <w:lang w:val="nl"/>
        </w:rPr>
        <w:t xml:space="preserve"> </w:t>
      </w:r>
      <w:r w:rsidR="00691CBB" w:rsidRPr="00B634A1">
        <w:rPr>
          <w:rFonts w:ascii="Times New Roman" w:hAnsi="Times New Roman"/>
          <w:bCs/>
          <w:lang w:val="nl"/>
        </w:rPr>
        <w:t>i Fonda za zaštitu okoliša i energetsku učinkovitost</w:t>
      </w:r>
      <w:r w:rsidR="002567B4">
        <w:rPr>
          <w:rFonts w:ascii="Times New Roman" w:hAnsi="Times New Roman"/>
          <w:bCs/>
          <w:lang w:val="nl"/>
        </w:rPr>
        <w:t xml:space="preserve">, pri čemu </w:t>
      </w:r>
      <w:r w:rsidR="002567B4" w:rsidRPr="00B634A1">
        <w:rPr>
          <w:rFonts w:ascii="Times New Roman" w:hAnsi="Times New Roman"/>
          <w:bCs/>
          <w:lang w:val="nl"/>
        </w:rPr>
        <w:t xml:space="preserve">Fond </w:t>
      </w:r>
      <w:r w:rsidR="002567B4">
        <w:rPr>
          <w:rFonts w:ascii="Times New Roman" w:hAnsi="Times New Roman"/>
          <w:bCs/>
          <w:lang w:val="nl"/>
        </w:rPr>
        <w:t>s</w:t>
      </w:r>
      <w:r w:rsidR="002567B4" w:rsidRPr="00B634A1">
        <w:rPr>
          <w:rFonts w:ascii="Times New Roman" w:hAnsi="Times New Roman"/>
          <w:bCs/>
          <w:lang w:val="nl"/>
        </w:rPr>
        <w:t>udjeluje</w:t>
      </w:r>
      <w:r w:rsidR="002567B4">
        <w:rPr>
          <w:rFonts w:ascii="Times New Roman" w:hAnsi="Times New Roman"/>
          <w:bCs/>
          <w:lang w:val="nl"/>
        </w:rPr>
        <w:t xml:space="preserve"> </w:t>
      </w:r>
      <w:r w:rsidR="002567B4" w:rsidRPr="00B634A1">
        <w:rPr>
          <w:rFonts w:ascii="Times New Roman" w:hAnsi="Times New Roman"/>
          <w:bCs/>
          <w:lang w:val="nl"/>
        </w:rPr>
        <w:t>u sredstvima pomoći u iznosu pedeset posto</w:t>
      </w:r>
      <w:r w:rsidR="002567B4">
        <w:rPr>
          <w:rFonts w:ascii="Times New Roman" w:hAnsi="Times New Roman"/>
          <w:bCs/>
          <w:lang w:val="nl"/>
        </w:rPr>
        <w:t xml:space="preserve"> </w:t>
      </w:r>
      <w:r w:rsidR="002567B4" w:rsidRPr="00B634A1">
        <w:rPr>
          <w:rFonts w:ascii="Times New Roman" w:hAnsi="Times New Roman"/>
          <w:bCs/>
          <w:lang w:val="nl"/>
        </w:rPr>
        <w:t>procijenjenih i opravdanih troškova predmetnog projekta dok drugi dio troškova projekta snosi</w:t>
      </w:r>
      <w:r w:rsidR="002567B4">
        <w:rPr>
          <w:rFonts w:ascii="Times New Roman" w:hAnsi="Times New Roman"/>
          <w:bCs/>
          <w:lang w:val="nl"/>
        </w:rPr>
        <w:t xml:space="preserve"> </w:t>
      </w:r>
      <w:r w:rsidR="002567B4" w:rsidRPr="00B634A1">
        <w:rPr>
          <w:rFonts w:ascii="Times New Roman" w:hAnsi="Times New Roman"/>
          <w:bCs/>
          <w:lang w:val="nl"/>
        </w:rPr>
        <w:t>Javna ustanova iz proračuna Bjelovarsko-bilogorske županije</w:t>
      </w:r>
      <w:r w:rsidR="00691CBB" w:rsidRPr="00B634A1">
        <w:rPr>
          <w:rFonts w:ascii="Times New Roman" w:hAnsi="Times New Roman"/>
          <w:bCs/>
          <w:lang w:val="nl"/>
        </w:rPr>
        <w:t>. Projekt</w:t>
      </w:r>
      <w:r w:rsidR="002567B4">
        <w:rPr>
          <w:rFonts w:ascii="Times New Roman" w:hAnsi="Times New Roman"/>
          <w:bCs/>
          <w:lang w:val="nl"/>
        </w:rPr>
        <w:t>om</w:t>
      </w:r>
      <w:r w:rsidR="00691CBB" w:rsidRPr="00B634A1">
        <w:rPr>
          <w:rFonts w:ascii="Times New Roman" w:hAnsi="Times New Roman"/>
          <w:bCs/>
          <w:lang w:val="nl"/>
        </w:rPr>
        <w:t xml:space="preserve"> se dodjel</w:t>
      </w:r>
      <w:r w:rsidR="002567B4">
        <w:rPr>
          <w:rFonts w:ascii="Times New Roman" w:hAnsi="Times New Roman"/>
          <w:bCs/>
          <w:lang w:val="nl"/>
        </w:rPr>
        <w:t>juje</w:t>
      </w:r>
      <w:r w:rsidR="00691CBB" w:rsidRPr="00B634A1">
        <w:rPr>
          <w:rFonts w:ascii="Times New Roman" w:hAnsi="Times New Roman"/>
          <w:bCs/>
          <w:lang w:val="nl"/>
        </w:rPr>
        <w:t xml:space="preserve"> jednokratn</w:t>
      </w:r>
      <w:r w:rsidR="002567B4">
        <w:rPr>
          <w:rFonts w:ascii="Times New Roman" w:hAnsi="Times New Roman"/>
          <w:bCs/>
          <w:lang w:val="nl"/>
        </w:rPr>
        <w:t>a</w:t>
      </w:r>
      <w:r w:rsidR="00691CBB" w:rsidRPr="00B634A1">
        <w:rPr>
          <w:rFonts w:ascii="Times New Roman" w:hAnsi="Times New Roman"/>
          <w:bCs/>
          <w:lang w:val="nl"/>
        </w:rPr>
        <w:t xml:space="preserve"> pomoći</w:t>
      </w:r>
      <w:r w:rsidR="00E6021F">
        <w:rPr>
          <w:rFonts w:ascii="Times New Roman" w:hAnsi="Times New Roman"/>
          <w:bCs/>
          <w:lang w:val="nl"/>
        </w:rPr>
        <w:t xml:space="preserve"> </w:t>
      </w:r>
      <w:r w:rsidR="00691CBB" w:rsidRPr="00B634A1">
        <w:rPr>
          <w:rFonts w:ascii="Times New Roman" w:hAnsi="Times New Roman"/>
          <w:bCs/>
          <w:lang w:val="nl"/>
        </w:rPr>
        <w:t>vlasnicima objekata na kojima se nalazi gnijezdo bijele rode.</w:t>
      </w:r>
      <w:r w:rsidR="00691CBB">
        <w:rPr>
          <w:rFonts w:ascii="Times New Roman" w:hAnsi="Times New Roman"/>
          <w:bCs/>
          <w:lang w:val="nl"/>
        </w:rPr>
        <w:t xml:space="preserve"> </w:t>
      </w:r>
    </w:p>
    <w:p w14:paraId="08E82AE4" w14:textId="77777777" w:rsidR="00DB55E3" w:rsidRPr="00810F0B" w:rsidRDefault="00DB55E3" w:rsidP="00691CBB">
      <w:pPr>
        <w:tabs>
          <w:tab w:val="left" w:pos="1134"/>
          <w:tab w:val="left" w:pos="2268"/>
          <w:tab w:val="left" w:pos="4536"/>
        </w:tabs>
        <w:jc w:val="both"/>
        <w:rPr>
          <w:rFonts w:ascii="Times New Roman" w:hAnsi="Times New Roman"/>
          <w:b/>
          <w:noProof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FD4987" w:rsidRPr="00E55B2F" w14:paraId="111D665F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4DC22CE4" w14:textId="2F6F2F74" w:rsidR="00FD4987" w:rsidRPr="00CD027A" w:rsidRDefault="00FD498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2D410C48" w14:textId="62C2421D" w:rsidR="00FD4987" w:rsidRPr="00CD027A" w:rsidRDefault="00FD4987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3380FDC0" w14:textId="6E6DC285" w:rsidR="00FD4987" w:rsidRPr="00CD027A" w:rsidRDefault="00FD498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E6021F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76936F2F" w14:textId="77777777" w:rsidR="00FD4987" w:rsidRPr="00CD027A" w:rsidRDefault="00FD4987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D4987" w:rsidRPr="00E55B2F" w14:paraId="73CF71FF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2FED0D93" w14:textId="4E49C3B8" w:rsidR="00FD4987" w:rsidRPr="00E55B2F" w:rsidRDefault="00FD4987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6021F">
              <w:rPr>
                <w:rFonts w:ascii="Times New Roman" w:hAnsi="Times New Roman"/>
              </w:rPr>
              <w:t>220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42E89AF" w14:textId="43ACAB97" w:rsidR="00FD4987" w:rsidRPr="00E55B2F" w:rsidRDefault="00FD4987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6021F">
              <w:rPr>
                <w:rFonts w:ascii="Times New Roman" w:hAnsi="Times New Roman"/>
              </w:rPr>
              <w:t>220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7864CAC6" w14:textId="6473FBE2" w:rsidR="00FD4987" w:rsidRDefault="00FD4987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6021F">
              <w:rPr>
                <w:rFonts w:ascii="Times New Roman" w:hAnsi="Times New Roman"/>
              </w:rPr>
              <w:t>207,83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DC403B7" w14:textId="74841406" w:rsidR="00FD4987" w:rsidRPr="00E55B2F" w:rsidRDefault="00FD4987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</w:t>
            </w:r>
            <w:r w:rsidR="00E6021F">
              <w:rPr>
                <w:rFonts w:ascii="Times New Roman" w:hAnsi="Times New Roman"/>
              </w:rPr>
              <w:t>00</w:t>
            </w:r>
          </w:p>
        </w:tc>
      </w:tr>
    </w:tbl>
    <w:p w14:paraId="785540C4" w14:textId="77777777" w:rsidR="00691CBB" w:rsidRDefault="00691CBB" w:rsidP="00FD4987">
      <w:pPr>
        <w:spacing w:line="360" w:lineRule="auto"/>
        <w:rPr>
          <w:rFonts w:ascii="Times New Roman" w:hAnsi="Times New Roman"/>
          <w:b/>
        </w:rPr>
      </w:pPr>
    </w:p>
    <w:p w14:paraId="79A2863A" w14:textId="77777777" w:rsidR="00691CBB" w:rsidRPr="00EB7D16" w:rsidRDefault="00691CBB" w:rsidP="00691CBB">
      <w:pPr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 xml:space="preserve">T000085 – </w:t>
      </w:r>
      <w:r w:rsidRPr="00EB7D16">
        <w:rPr>
          <w:rFonts w:ascii="Times New Roman" w:hAnsi="Times New Roman"/>
          <w:i/>
        </w:rPr>
        <w:t>Uspostava okvira za upravljanje ekološkom mrežom Natura 2000</w:t>
      </w:r>
    </w:p>
    <w:p w14:paraId="6B0455FB" w14:textId="5AB29BA3" w:rsidR="00DB55E3" w:rsidRDefault="00DB55E3" w:rsidP="00691CBB">
      <w:pPr>
        <w:tabs>
          <w:tab w:val="left" w:pos="1134"/>
          <w:tab w:val="left" w:pos="2268"/>
          <w:tab w:val="left" w:pos="4536"/>
        </w:tabs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Planirana sredstva</w:t>
      </w:r>
      <w:r w:rsidR="00E40577">
        <w:rPr>
          <w:rFonts w:ascii="Times New Roman" w:hAnsi="Times New Roman"/>
          <w:noProof/>
        </w:rPr>
        <w:t xml:space="preserve"> u iznosu </w:t>
      </w:r>
      <w:r w:rsidR="00E6021F">
        <w:rPr>
          <w:rFonts w:ascii="Times New Roman" w:hAnsi="Times New Roman"/>
          <w:noProof/>
        </w:rPr>
        <w:t>300</w:t>
      </w:r>
      <w:r w:rsidR="00E40577">
        <w:rPr>
          <w:rFonts w:ascii="Times New Roman" w:hAnsi="Times New Roman"/>
          <w:noProof/>
        </w:rPr>
        <w:t>,00 €</w:t>
      </w:r>
      <w:r>
        <w:rPr>
          <w:rFonts w:ascii="Times New Roman" w:hAnsi="Times New Roman"/>
          <w:noProof/>
        </w:rPr>
        <w:t xml:space="preserve"> za </w:t>
      </w:r>
      <w:r w:rsidR="00691CBB" w:rsidRPr="00525814">
        <w:rPr>
          <w:rFonts w:ascii="Times New Roman" w:hAnsi="Times New Roman"/>
          <w:noProof/>
        </w:rPr>
        <w:t>Projekt „Uspostava okvira za upravljanje ekološkom mrežom Natura 2000“</w:t>
      </w:r>
      <w:r>
        <w:rPr>
          <w:rFonts w:ascii="Times New Roman" w:hAnsi="Times New Roman"/>
          <w:noProof/>
        </w:rPr>
        <w:t xml:space="preserve"> </w:t>
      </w:r>
      <w:r w:rsidR="00E40577">
        <w:rPr>
          <w:rFonts w:ascii="Times New Roman" w:hAnsi="Times New Roman"/>
          <w:noProof/>
        </w:rPr>
        <w:t xml:space="preserve">ostvarena su u iznosu </w:t>
      </w:r>
      <w:r w:rsidR="00CB0CC6">
        <w:rPr>
          <w:rFonts w:ascii="Times New Roman" w:hAnsi="Times New Roman"/>
          <w:noProof/>
        </w:rPr>
        <w:t>226.44</w:t>
      </w:r>
      <w:r w:rsidR="00E40577">
        <w:rPr>
          <w:rFonts w:ascii="Times New Roman" w:hAnsi="Times New Roman"/>
          <w:noProof/>
        </w:rPr>
        <w:t xml:space="preserve"> € ili </w:t>
      </w:r>
      <w:r w:rsidR="00CB0CC6">
        <w:rPr>
          <w:rFonts w:ascii="Times New Roman" w:hAnsi="Times New Roman"/>
          <w:noProof/>
        </w:rPr>
        <w:t>75,48</w:t>
      </w:r>
      <w:r w:rsidR="00E40577">
        <w:rPr>
          <w:rFonts w:ascii="Times New Roman" w:hAnsi="Times New Roman"/>
          <w:noProof/>
        </w:rPr>
        <w:t>% za rashode provedbe navedenog projekta.</w:t>
      </w:r>
      <w:r w:rsidR="00691CBB" w:rsidRPr="00525814">
        <w:rPr>
          <w:rFonts w:ascii="Times New Roman" w:hAnsi="Times New Roman"/>
          <w:noProof/>
        </w:rPr>
        <w:t xml:space="preserve"> </w:t>
      </w:r>
      <w:r w:rsidR="00E40577">
        <w:rPr>
          <w:rFonts w:ascii="Times New Roman" w:hAnsi="Times New Roman"/>
          <w:noProof/>
        </w:rPr>
        <w:t xml:space="preserve">Projekt </w:t>
      </w:r>
      <w:r w:rsidR="00691CBB" w:rsidRPr="00525814">
        <w:rPr>
          <w:rFonts w:ascii="Times New Roman" w:hAnsi="Times New Roman"/>
          <w:noProof/>
        </w:rPr>
        <w:t>je financiran unutar</w:t>
      </w:r>
      <w:r w:rsidR="00691CBB">
        <w:rPr>
          <w:rFonts w:ascii="Times New Roman" w:hAnsi="Times New Roman"/>
          <w:noProof/>
        </w:rPr>
        <w:t xml:space="preserve"> </w:t>
      </w:r>
      <w:r w:rsidR="00691CBB" w:rsidRPr="00525814">
        <w:rPr>
          <w:rFonts w:ascii="Times New Roman" w:hAnsi="Times New Roman"/>
          <w:noProof/>
        </w:rPr>
        <w:t>Operativnog programa Konkurentnost i kohezija 2014.-2020. godine, investicijski prioritet 6iii</w:t>
      </w:r>
      <w:r w:rsidR="00691CBB">
        <w:rPr>
          <w:rFonts w:ascii="Times New Roman" w:hAnsi="Times New Roman"/>
          <w:noProof/>
        </w:rPr>
        <w:t xml:space="preserve"> </w:t>
      </w:r>
      <w:r w:rsidR="00691CBB" w:rsidRPr="00525814">
        <w:rPr>
          <w:rFonts w:ascii="Times New Roman" w:hAnsi="Times New Roman"/>
          <w:noProof/>
        </w:rPr>
        <w:t>„Zaštita i obnova bioraznolikosti i tla te promicanje usluga ekosustava, uključujući Natura 2000</w:t>
      </w:r>
      <w:r w:rsidR="00691CBB">
        <w:rPr>
          <w:rFonts w:ascii="Times New Roman" w:hAnsi="Times New Roman"/>
          <w:noProof/>
        </w:rPr>
        <w:t xml:space="preserve"> </w:t>
      </w:r>
      <w:r w:rsidR="00691CBB" w:rsidRPr="00525814">
        <w:rPr>
          <w:rFonts w:ascii="Times New Roman" w:hAnsi="Times New Roman"/>
          <w:noProof/>
        </w:rPr>
        <w:t>i zelenu infrastrukturu“</w:t>
      </w:r>
      <w:r w:rsidR="00E40577">
        <w:rPr>
          <w:rFonts w:ascii="Times New Roman" w:hAnsi="Times New Roman"/>
          <w:noProof/>
        </w:rPr>
        <w:t>, a</w:t>
      </w:r>
      <w:r w:rsidR="00691CBB" w:rsidRPr="00525814">
        <w:rPr>
          <w:rFonts w:ascii="Times New Roman" w:hAnsi="Times New Roman"/>
          <w:noProof/>
        </w:rPr>
        <w:t xml:space="preserve"> </w:t>
      </w:r>
      <w:r w:rsidR="00E40577">
        <w:rPr>
          <w:rFonts w:ascii="Times New Roman" w:hAnsi="Times New Roman"/>
          <w:noProof/>
        </w:rPr>
        <w:t>n</w:t>
      </w:r>
      <w:r w:rsidR="00691CBB" w:rsidRPr="00525814">
        <w:rPr>
          <w:rFonts w:ascii="Times New Roman" w:hAnsi="Times New Roman"/>
          <w:noProof/>
        </w:rPr>
        <w:t>ositelj je Ministarstvo</w:t>
      </w:r>
      <w:r w:rsidR="00100EAC">
        <w:rPr>
          <w:rFonts w:ascii="Times New Roman" w:hAnsi="Times New Roman"/>
          <w:noProof/>
        </w:rPr>
        <w:t xml:space="preserve"> zaštite okoliša i zelene tranzicije</w:t>
      </w:r>
      <w:r w:rsidR="00691CBB" w:rsidRPr="00525814">
        <w:rPr>
          <w:rFonts w:ascii="Times New Roman" w:hAnsi="Times New Roman"/>
          <w:noProof/>
        </w:rPr>
        <w:t>, dok</w:t>
      </w:r>
      <w:r w:rsidR="00691CBB">
        <w:rPr>
          <w:rFonts w:ascii="Times New Roman" w:hAnsi="Times New Roman"/>
          <w:noProof/>
        </w:rPr>
        <w:t xml:space="preserve"> </w:t>
      </w:r>
      <w:r w:rsidR="00691CBB" w:rsidRPr="00525814">
        <w:rPr>
          <w:rFonts w:ascii="Times New Roman" w:hAnsi="Times New Roman"/>
          <w:noProof/>
        </w:rPr>
        <w:t>je Javna ustanova za upravljanje zaštićenim dijelovima prirode Bjelovarsko-bilogorske</w:t>
      </w:r>
      <w:r w:rsidR="00691CBB">
        <w:rPr>
          <w:rFonts w:ascii="Times New Roman" w:hAnsi="Times New Roman"/>
          <w:noProof/>
        </w:rPr>
        <w:t xml:space="preserve"> </w:t>
      </w:r>
      <w:r w:rsidR="00691CBB" w:rsidRPr="00525814">
        <w:rPr>
          <w:rFonts w:ascii="Times New Roman" w:hAnsi="Times New Roman"/>
          <w:noProof/>
        </w:rPr>
        <w:t>županije suradnik na predmetnom</w:t>
      </w:r>
      <w:r w:rsidR="00D125BC">
        <w:rPr>
          <w:rFonts w:ascii="Times New Roman" w:hAnsi="Times New Roman"/>
          <w:noProof/>
        </w:rPr>
        <w:t xml:space="preserve"> projektu</w:t>
      </w:r>
      <w:r w:rsidR="00E40577">
        <w:rPr>
          <w:rFonts w:ascii="Times New Roman" w:hAnsi="Times New Roman"/>
          <w:noProof/>
        </w:rPr>
        <w:t>.</w:t>
      </w:r>
    </w:p>
    <w:p w14:paraId="20636237" w14:textId="77777777" w:rsidR="00E40577" w:rsidRPr="00525814" w:rsidRDefault="00E40577" w:rsidP="00691CBB">
      <w:pPr>
        <w:tabs>
          <w:tab w:val="left" w:pos="1134"/>
          <w:tab w:val="left" w:pos="2268"/>
          <w:tab w:val="left" w:pos="4536"/>
        </w:tabs>
        <w:jc w:val="both"/>
        <w:rPr>
          <w:rFonts w:ascii="Times New Roman" w:hAnsi="Times New Roman"/>
          <w:noProof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DB55E3" w:rsidRPr="00E55B2F" w14:paraId="25041D14" w14:textId="77777777" w:rsidTr="00E40577">
        <w:trPr>
          <w:trHeight w:val="322"/>
        </w:trPr>
        <w:tc>
          <w:tcPr>
            <w:tcW w:w="2559" w:type="dxa"/>
            <w:shd w:val="clear" w:color="auto" w:fill="B5C0D8"/>
          </w:tcPr>
          <w:p w14:paraId="1FBB9E57" w14:textId="4F8B8034" w:rsidR="00DB55E3" w:rsidRPr="00CD027A" w:rsidRDefault="00DB55E3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CB0CC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7BB63895" w14:textId="407441D1" w:rsidR="00DB55E3" w:rsidRPr="00CD027A" w:rsidRDefault="00DB55E3" w:rsidP="00E405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CB0CC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18A5A930" w14:textId="7FA9087F" w:rsidR="00DB55E3" w:rsidRPr="00CD027A" w:rsidRDefault="00DB55E3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CB0CC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2658500F" w14:textId="77777777" w:rsidR="00DB55E3" w:rsidRPr="00CD027A" w:rsidRDefault="00DB55E3" w:rsidP="00E40577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DB55E3" w:rsidRPr="00E55B2F" w14:paraId="71B803C3" w14:textId="77777777" w:rsidTr="00E40577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29DC42A3" w14:textId="13FDDB6C" w:rsidR="00DB55E3" w:rsidRPr="00E55B2F" w:rsidRDefault="00CB0CC6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DB55E3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01F52DCD" w14:textId="7935E57E" w:rsidR="00DB55E3" w:rsidRPr="00E55B2F" w:rsidRDefault="00CB0CC6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="00DB55E3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35EAC8FF" w14:textId="118DCF7B" w:rsidR="00DB55E3" w:rsidRDefault="00CB0CC6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226,44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B2DA8F9" w14:textId="31465A06" w:rsidR="00DB55E3" w:rsidRPr="00E55B2F" w:rsidRDefault="00CB0CC6" w:rsidP="00E40577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75,48</w:t>
            </w:r>
          </w:p>
        </w:tc>
      </w:tr>
    </w:tbl>
    <w:p w14:paraId="3B754F98" w14:textId="77777777" w:rsidR="00E40577" w:rsidRDefault="00E40577" w:rsidP="001819F2">
      <w:pPr>
        <w:tabs>
          <w:tab w:val="left" w:pos="5310"/>
        </w:tabs>
        <w:spacing w:line="360" w:lineRule="auto"/>
        <w:rPr>
          <w:rFonts w:ascii="Times New Roman" w:hAnsi="Times New Roman"/>
        </w:rPr>
      </w:pPr>
    </w:p>
    <w:p w14:paraId="2B89AF55" w14:textId="77777777" w:rsidR="00691CBB" w:rsidRPr="00E55B2F" w:rsidRDefault="00691CBB" w:rsidP="00691CBB">
      <w:pPr>
        <w:tabs>
          <w:tab w:val="left" w:pos="5310"/>
        </w:tabs>
        <w:rPr>
          <w:rFonts w:ascii="Times New Roman" w:hAnsi="Times New Roman"/>
          <w:i/>
        </w:rPr>
      </w:pPr>
      <w:r w:rsidRPr="00E55B2F">
        <w:rPr>
          <w:rFonts w:ascii="Times New Roman" w:hAnsi="Times New Roman"/>
          <w:b/>
        </w:rPr>
        <w:t>T000</w:t>
      </w:r>
      <w:r>
        <w:rPr>
          <w:rFonts w:ascii="Times New Roman" w:hAnsi="Times New Roman"/>
          <w:b/>
        </w:rPr>
        <w:t>151</w:t>
      </w:r>
      <w:r w:rsidRPr="00E55B2F">
        <w:rPr>
          <w:rFonts w:ascii="Times New Roman" w:hAnsi="Times New Roman"/>
          <w:b/>
        </w:rPr>
        <w:t xml:space="preserve"> </w:t>
      </w:r>
      <w:r w:rsidRPr="007E690E">
        <w:rPr>
          <w:rFonts w:ascii="Times New Roman" w:hAnsi="Times New Roman"/>
          <w:b/>
        </w:rPr>
        <w:t xml:space="preserve">– </w:t>
      </w:r>
      <w:r w:rsidRPr="00692E92">
        <w:rPr>
          <w:rFonts w:ascii="Times New Roman" w:hAnsi="Times New Roman"/>
          <w:i/>
        </w:rPr>
        <w:t>Borba s odmetnicima prirode</w:t>
      </w:r>
      <w:r>
        <w:rPr>
          <w:rFonts w:ascii="Times New Roman" w:hAnsi="Times New Roman"/>
          <w:b/>
          <w:i/>
        </w:rPr>
        <w:tab/>
      </w:r>
    </w:p>
    <w:p w14:paraId="5C181B55" w14:textId="374FEE73" w:rsidR="00691CBB" w:rsidRDefault="004D0668" w:rsidP="00691CB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provedbu projekta “</w:t>
      </w:r>
      <w:r w:rsidRPr="00692E92">
        <w:rPr>
          <w:rFonts w:ascii="Times New Roman" w:hAnsi="Times New Roman"/>
          <w:i/>
        </w:rPr>
        <w:t>Borba s odmetnicima prirode</w:t>
      </w:r>
      <w:r>
        <w:rPr>
          <w:rFonts w:ascii="Times New Roman" w:hAnsi="Times New Roman"/>
          <w:i/>
        </w:rPr>
        <w:t>”</w:t>
      </w:r>
      <w:r>
        <w:rPr>
          <w:rFonts w:ascii="Times New Roman" w:hAnsi="Times New Roman"/>
        </w:rPr>
        <w:t xml:space="preserve"> planirano je </w:t>
      </w:r>
      <w:r w:rsidR="00CA0D44">
        <w:rPr>
          <w:rFonts w:ascii="Times New Roman" w:hAnsi="Times New Roman"/>
        </w:rPr>
        <w:t>60.757</w:t>
      </w:r>
      <w:r>
        <w:rPr>
          <w:rFonts w:ascii="Times New Roman" w:hAnsi="Times New Roman"/>
        </w:rPr>
        <w:t>,00 €, a u 202</w:t>
      </w:r>
      <w:r w:rsidR="00CA0D4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godini </w:t>
      </w:r>
      <w:r w:rsidR="00CA0D44">
        <w:rPr>
          <w:rFonts w:ascii="Times New Roman" w:hAnsi="Times New Roman"/>
        </w:rPr>
        <w:t>o</w:t>
      </w:r>
      <w:r w:rsidR="00100EAC">
        <w:rPr>
          <w:rFonts w:ascii="Times New Roman" w:hAnsi="Times New Roman"/>
        </w:rPr>
        <w:t>s</w:t>
      </w:r>
      <w:r w:rsidR="00CA0D44">
        <w:rPr>
          <w:rFonts w:ascii="Times New Roman" w:hAnsi="Times New Roman"/>
        </w:rPr>
        <w:t>tvareno</w:t>
      </w:r>
      <w:r>
        <w:rPr>
          <w:rFonts w:ascii="Times New Roman" w:hAnsi="Times New Roman"/>
        </w:rPr>
        <w:t xml:space="preserve"> je </w:t>
      </w:r>
      <w:r w:rsidR="00CA0D44">
        <w:rPr>
          <w:rFonts w:ascii="Times New Roman" w:hAnsi="Times New Roman"/>
        </w:rPr>
        <w:t>45.669,00</w:t>
      </w:r>
      <w:r>
        <w:rPr>
          <w:rFonts w:ascii="Times New Roman" w:hAnsi="Times New Roman"/>
        </w:rPr>
        <w:t xml:space="preserve"> € ili </w:t>
      </w:r>
      <w:r w:rsidR="00CA0D44">
        <w:rPr>
          <w:rFonts w:ascii="Times New Roman" w:hAnsi="Times New Roman"/>
        </w:rPr>
        <w:t>75,17</w:t>
      </w:r>
      <w:r>
        <w:rPr>
          <w:rFonts w:ascii="Times New Roman" w:hAnsi="Times New Roman"/>
        </w:rPr>
        <w:t xml:space="preserve">% od plana. </w:t>
      </w:r>
      <w:r w:rsidR="00691CBB">
        <w:rPr>
          <w:rFonts w:ascii="Times New Roman" w:hAnsi="Times New Roman"/>
        </w:rPr>
        <w:t>Javna ustanova je prijavila projekt na Javni poziv za neposredno financiranje projekta „Kontrola populacija prioritetnih invazivnih stranih vrsta“ od stane Fonda za zaštitu okoliša i energetsku učinkovitost s financiranjem 100% prihvatljivih troškova projekta.</w:t>
      </w:r>
    </w:p>
    <w:p w14:paraId="23DD6259" w14:textId="77777777" w:rsidR="002567B4" w:rsidRDefault="002567B4" w:rsidP="00691CBB">
      <w:pPr>
        <w:jc w:val="both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2567B4" w:rsidRPr="00E55B2F" w14:paraId="491C7D8F" w14:textId="77777777" w:rsidTr="0081509E">
        <w:trPr>
          <w:trHeight w:val="322"/>
        </w:trPr>
        <w:tc>
          <w:tcPr>
            <w:tcW w:w="2559" w:type="dxa"/>
            <w:shd w:val="clear" w:color="auto" w:fill="B5C0D8"/>
          </w:tcPr>
          <w:p w14:paraId="7F12BB55" w14:textId="43478A9A" w:rsidR="002567B4" w:rsidRPr="00CD027A" w:rsidRDefault="002567B4" w:rsidP="0081509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CA0D44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0CA9A544" w14:textId="678FF6E3" w:rsidR="002567B4" w:rsidRPr="00CD027A" w:rsidRDefault="002567B4" w:rsidP="0081509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CA0D44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6335DF11" w14:textId="14C1969A" w:rsidR="002567B4" w:rsidRPr="00CD027A" w:rsidRDefault="002567B4" w:rsidP="0081509E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CA0D44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24BB8650" w14:textId="77777777" w:rsidR="002567B4" w:rsidRPr="00CD027A" w:rsidRDefault="002567B4" w:rsidP="0081509E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567B4" w:rsidRPr="00E55B2F" w14:paraId="43390607" w14:textId="77777777" w:rsidTr="0081509E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6509B043" w14:textId="2443BAB4" w:rsidR="002567B4" w:rsidRPr="00E55B2F" w:rsidRDefault="00CA0D4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60.757</w:t>
            </w:r>
            <w:r w:rsidR="002567B4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FBBE7F6" w14:textId="78C57D0C" w:rsidR="002567B4" w:rsidRPr="00E55B2F" w:rsidRDefault="00CA0D4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60.757</w:t>
            </w:r>
            <w:r w:rsidR="002567B4">
              <w:rPr>
                <w:rFonts w:ascii="Times New Roman" w:hAnsi="Times New Roman"/>
              </w:rPr>
              <w:t>,00</w:t>
            </w:r>
          </w:p>
        </w:tc>
        <w:tc>
          <w:tcPr>
            <w:tcW w:w="2174" w:type="dxa"/>
          </w:tcPr>
          <w:p w14:paraId="26BE983E" w14:textId="062812A1" w:rsidR="002567B4" w:rsidRDefault="00CA0D4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45.669,00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8E34E1F" w14:textId="122D55F9" w:rsidR="002567B4" w:rsidRPr="00E55B2F" w:rsidRDefault="00CA0D4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75,17</w:t>
            </w:r>
          </w:p>
        </w:tc>
      </w:tr>
    </w:tbl>
    <w:p w14:paraId="7DA923AA" w14:textId="77777777" w:rsidR="00691CBB" w:rsidRPr="00252FD3" w:rsidRDefault="00691CBB" w:rsidP="00252FD3">
      <w:pPr>
        <w:spacing w:line="360" w:lineRule="auto"/>
        <w:rPr>
          <w:rFonts w:ascii="Times New Roman" w:hAnsi="Times New Roman"/>
          <w:szCs w:val="24"/>
          <w:lang w:val="hr-HR"/>
        </w:rPr>
      </w:pPr>
    </w:p>
    <w:p w14:paraId="6653ED83" w14:textId="77777777" w:rsidR="002602D4" w:rsidRDefault="002602D4" w:rsidP="002602D4">
      <w:pPr>
        <w:rPr>
          <w:rFonts w:ascii="Times New Roman" w:hAnsi="Times New Roman"/>
          <w:b/>
          <w:szCs w:val="24"/>
        </w:rPr>
      </w:pPr>
      <w:r w:rsidRPr="00824A75">
        <w:rPr>
          <w:rFonts w:ascii="Times New Roman" w:hAnsi="Times New Roman"/>
          <w:b/>
          <w:szCs w:val="24"/>
        </w:rPr>
        <w:t>POKAZATELJI USPJEŠNOSTI</w:t>
      </w:r>
      <w:r>
        <w:rPr>
          <w:rFonts w:ascii="Times New Roman" w:hAnsi="Times New Roman"/>
          <w:b/>
          <w:szCs w:val="24"/>
        </w:rPr>
        <w:t xml:space="preserve"> (na razini programa)</w:t>
      </w:r>
      <w:r w:rsidRPr="00824A75">
        <w:rPr>
          <w:rFonts w:ascii="Times New Roman" w:hAnsi="Times New Roman"/>
          <w:b/>
          <w:szCs w:val="24"/>
        </w:rPr>
        <w:t>:</w:t>
      </w:r>
    </w:p>
    <w:p w14:paraId="3CCBACA2" w14:textId="77777777" w:rsidR="002602D4" w:rsidRDefault="002602D4" w:rsidP="002602D4">
      <w:pPr>
        <w:rPr>
          <w:rFonts w:ascii="Times New Roman" w:hAnsi="Times New Roman"/>
          <w:b/>
          <w:szCs w:val="24"/>
        </w:rPr>
      </w:pP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1417"/>
        <w:gridCol w:w="1560"/>
        <w:gridCol w:w="1419"/>
      </w:tblGrid>
      <w:tr w:rsidR="002602D4" w:rsidRPr="00CD027A" w14:paraId="33387A98" w14:textId="77777777" w:rsidTr="0081509E">
        <w:trPr>
          <w:trHeight w:val="25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CAA87DC" w14:textId="77777777" w:rsidR="002602D4" w:rsidRPr="00CD027A" w:rsidRDefault="002602D4" w:rsidP="0081509E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52AE7EC" w14:textId="77777777" w:rsidR="002602D4" w:rsidRPr="00CD027A" w:rsidRDefault="002602D4" w:rsidP="0081509E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A10433E" w14:textId="77777777" w:rsidR="002602D4" w:rsidRPr="00CD027A" w:rsidRDefault="002602D4" w:rsidP="0081509E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CF07AB1" w14:textId="77777777" w:rsidR="002602D4" w:rsidRPr="00CD027A" w:rsidRDefault="002602D4" w:rsidP="0081509E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09F919F" w14:textId="1FE89445" w:rsidR="002602D4" w:rsidRPr="00CD027A" w:rsidRDefault="002602D4" w:rsidP="0081509E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CA0D44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4A258E1" w14:textId="1051D457" w:rsidR="002602D4" w:rsidRPr="00CD027A" w:rsidRDefault="002602D4" w:rsidP="0081509E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CA0D44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252FD3" w14:paraId="59C909ED" w14:textId="77777777" w:rsidTr="00CA0D44">
        <w:trPr>
          <w:trHeight w:val="1257"/>
        </w:trPr>
        <w:tc>
          <w:tcPr>
            <w:tcW w:w="1838" w:type="dxa"/>
            <w:vAlign w:val="center"/>
          </w:tcPr>
          <w:p w14:paraId="18C3DE4E" w14:textId="77777777" w:rsidR="00252FD3" w:rsidRPr="00B163DE" w:rsidRDefault="00252FD3" w:rsidP="00252FD3">
            <w:pPr>
              <w:jc w:val="center"/>
            </w:pPr>
            <w:r w:rsidRPr="00B163DE">
              <w:t>Izvršenje planiranih aktivnosti</w:t>
            </w:r>
          </w:p>
        </w:tc>
        <w:tc>
          <w:tcPr>
            <w:tcW w:w="2126" w:type="dxa"/>
            <w:vAlign w:val="center"/>
          </w:tcPr>
          <w:p w14:paraId="2D341BF2" w14:textId="2A5CB4B2" w:rsidR="00252FD3" w:rsidRPr="00B163DE" w:rsidRDefault="00252FD3" w:rsidP="00252FD3">
            <w:pPr>
              <w:jc w:val="center"/>
            </w:pPr>
            <w:r>
              <w:t>Pokazatelj se odnosi na postotak planiranih aktivnosti</w:t>
            </w:r>
            <w:r w:rsidR="00100EAC">
              <w:t xml:space="preserve"> Javne ustanove</w:t>
            </w:r>
          </w:p>
        </w:tc>
        <w:tc>
          <w:tcPr>
            <w:tcW w:w="1418" w:type="dxa"/>
            <w:vAlign w:val="center"/>
          </w:tcPr>
          <w:p w14:paraId="4320E2F0" w14:textId="77777777" w:rsidR="00252FD3" w:rsidRPr="00830FBB" w:rsidRDefault="00252FD3" w:rsidP="00252F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5FAEEABA" w14:textId="77777777" w:rsidR="00252FD3" w:rsidRPr="00830FBB" w:rsidRDefault="00252FD3" w:rsidP="00252F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1560" w:type="dxa"/>
            <w:vAlign w:val="center"/>
          </w:tcPr>
          <w:p w14:paraId="546FBDBB" w14:textId="77777777" w:rsidR="00252FD3" w:rsidRPr="00830FBB" w:rsidRDefault="00252FD3" w:rsidP="00252F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419" w:type="dxa"/>
            <w:vAlign w:val="center"/>
          </w:tcPr>
          <w:p w14:paraId="5DCE98CE" w14:textId="127C871C" w:rsidR="00252FD3" w:rsidRPr="00830FBB" w:rsidRDefault="00252FD3" w:rsidP="00252F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="00CA0D44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</w:tr>
    </w:tbl>
    <w:p w14:paraId="108EA2F1" w14:textId="77777777" w:rsidR="002602D4" w:rsidRDefault="002602D4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4B0DA2DC" w14:textId="77777777" w:rsidR="00252FD3" w:rsidRDefault="00252FD3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2411EA4A" w14:textId="77777777" w:rsidR="00940114" w:rsidRDefault="00940114" w:rsidP="00A82969">
      <w:pPr>
        <w:rPr>
          <w:rFonts w:ascii="Times New Roman" w:hAnsi="Times New Roman"/>
          <w:b/>
          <w:i/>
          <w:szCs w:val="24"/>
          <w:lang w:val="hr-HR"/>
        </w:rPr>
      </w:pPr>
    </w:p>
    <w:p w14:paraId="5E55E4A2" w14:textId="77777777" w:rsidR="00252FD3" w:rsidRPr="00252FD3" w:rsidRDefault="00252FD3" w:rsidP="00252FD3">
      <w:pPr>
        <w:rPr>
          <w:rFonts w:ascii="Times New Roman" w:hAnsi="Times New Roman"/>
          <w:i/>
          <w:szCs w:val="24"/>
        </w:rPr>
      </w:pPr>
      <w:r w:rsidRPr="00252FD3">
        <w:rPr>
          <w:rFonts w:ascii="Times New Roman" w:hAnsi="Times New Roman"/>
          <w:i/>
          <w:szCs w:val="24"/>
        </w:rPr>
        <w:t>NAZIV PROGRAMA: 1005 ZAŠTITA OKOLIŠA</w:t>
      </w:r>
    </w:p>
    <w:p w14:paraId="20310D32" w14:textId="77777777" w:rsidR="00252FD3" w:rsidRDefault="00252FD3" w:rsidP="00252FD3">
      <w:pPr>
        <w:rPr>
          <w:rFonts w:ascii="Times New Roman" w:hAnsi="Times New Roman"/>
          <w:b/>
        </w:rPr>
      </w:pPr>
    </w:p>
    <w:p w14:paraId="14D3F1B0" w14:textId="77777777" w:rsidR="00252FD3" w:rsidRPr="00E55B2F" w:rsidRDefault="00252FD3" w:rsidP="00252FD3">
      <w:pPr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OPIS PROGRAMA:</w:t>
      </w:r>
    </w:p>
    <w:p w14:paraId="21EB9B18" w14:textId="384BA45F" w:rsidR="00252FD3" w:rsidRDefault="00252FD3" w:rsidP="00252FD3">
      <w:pPr>
        <w:tabs>
          <w:tab w:val="left" w:pos="-170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okviru P</w:t>
      </w:r>
      <w:r w:rsidRPr="00E55B2F">
        <w:rPr>
          <w:rFonts w:ascii="Times New Roman" w:hAnsi="Times New Roman"/>
        </w:rPr>
        <w:t>rogram</w:t>
      </w:r>
      <w:r>
        <w:rPr>
          <w:rFonts w:ascii="Times New Roman" w:hAnsi="Times New Roman"/>
        </w:rPr>
        <w:t>a</w:t>
      </w:r>
      <w:r w:rsidRPr="00E55B2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planira</w:t>
      </w:r>
      <w:r w:rsidR="00807712">
        <w:rPr>
          <w:rFonts w:ascii="Times New Roman" w:hAnsi="Times New Roman"/>
        </w:rPr>
        <w:t>na</w:t>
      </w:r>
      <w:r>
        <w:rPr>
          <w:rFonts w:ascii="Times New Roman" w:hAnsi="Times New Roman"/>
        </w:rPr>
        <w:t xml:space="preserve"> s</w:t>
      </w:r>
      <w:r w:rsidR="00807712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sredstva za izradu dokumenata iz područja zaštite okoliša i gospodarenja otpadom čija je obaveza propisana zakonskom regulativom</w:t>
      </w:r>
      <w:r w:rsidR="001B42AF">
        <w:rPr>
          <w:rFonts w:ascii="Times New Roman" w:hAnsi="Times New Roman"/>
        </w:rPr>
        <w:t xml:space="preserve"> u cilju očuvanja okoliša, smanjenja rizika za zdravlje ljudi, osiguranje i poboljšanje kakvoće življenja današnjih i budućih generacija</w:t>
      </w:r>
      <w:r w:rsidRPr="00765838">
        <w:rPr>
          <w:rFonts w:ascii="Times New Roman" w:hAnsi="Times New Roman"/>
        </w:rPr>
        <w:t>.</w:t>
      </w:r>
    </w:p>
    <w:p w14:paraId="66A9BD5C" w14:textId="77777777" w:rsidR="00252FD3" w:rsidRDefault="00252FD3" w:rsidP="00252FD3">
      <w:pPr>
        <w:tabs>
          <w:tab w:val="left" w:pos="-1701"/>
        </w:tabs>
        <w:jc w:val="both"/>
        <w:rPr>
          <w:rFonts w:ascii="Times New Roman" w:hAnsi="Times New Roman"/>
        </w:rPr>
      </w:pPr>
    </w:p>
    <w:p w14:paraId="18D263DE" w14:textId="77777777" w:rsidR="00795B79" w:rsidRDefault="00795B79" w:rsidP="00252FD3">
      <w:pPr>
        <w:tabs>
          <w:tab w:val="left" w:pos="-1701"/>
        </w:tabs>
        <w:jc w:val="both"/>
        <w:rPr>
          <w:rFonts w:ascii="Times New Roman" w:hAnsi="Times New Roman"/>
        </w:rPr>
      </w:pPr>
    </w:p>
    <w:p w14:paraId="5A4DEF46" w14:textId="418CDB98" w:rsidR="00795B79" w:rsidRPr="004F1361" w:rsidRDefault="00795B79" w:rsidP="00795B79">
      <w:pPr>
        <w:spacing w:after="160"/>
        <w:jc w:val="both"/>
        <w:rPr>
          <w:rFonts w:ascii="Times New Roman" w:hAnsi="Times New Roman"/>
          <w:b/>
        </w:rPr>
      </w:pPr>
      <w:r w:rsidRPr="004F1361">
        <w:rPr>
          <w:rFonts w:ascii="Times New Roman" w:hAnsi="Times New Roman"/>
          <w:b/>
        </w:rPr>
        <w:t>IZVRŠENJE PROGRAMA S</w:t>
      </w:r>
      <w:r w:rsidR="00100EAC">
        <w:rPr>
          <w:rFonts w:ascii="Times New Roman" w:hAnsi="Times New Roman"/>
          <w:b/>
        </w:rPr>
        <w:t>A</w:t>
      </w:r>
      <w:r w:rsidRPr="004F1361">
        <w:rPr>
          <w:rFonts w:ascii="Times New Roman" w:hAnsi="Times New Roman"/>
          <w:b/>
        </w:rPr>
        <w:t xml:space="preserve"> OSVRTOM NA CILJEVE KOJI SU OSTVARENI NJEGOVOM PROVEDBOM</w:t>
      </w:r>
    </w:p>
    <w:p w14:paraId="7AE13009" w14:textId="2E87B88B" w:rsidR="001B42AF" w:rsidRDefault="00807712" w:rsidP="001B42AF">
      <w:pPr>
        <w:tabs>
          <w:tab w:val="left" w:pos="-170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Izvršenje</w:t>
      </w:r>
      <w:r w:rsidR="001B42AF">
        <w:rPr>
          <w:rFonts w:ascii="Times New Roman" w:hAnsi="Times New Roman"/>
        </w:rPr>
        <w:t xml:space="preserve"> unutar</w:t>
      </w:r>
      <w:r w:rsidR="001B42AF" w:rsidRPr="00983FB8">
        <w:rPr>
          <w:rFonts w:ascii="Times New Roman" w:hAnsi="Times New Roman"/>
        </w:rPr>
        <w:t xml:space="preserve"> </w:t>
      </w:r>
      <w:r w:rsidR="001B42AF" w:rsidRPr="00983FB8">
        <w:rPr>
          <w:rFonts w:ascii="Times New Roman" w:hAnsi="Times New Roman"/>
          <w:i/>
        </w:rPr>
        <w:t>Programa Zaštita okoliša</w:t>
      </w:r>
      <w:r w:rsidR="001B42AF">
        <w:rPr>
          <w:rFonts w:ascii="Times New Roman" w:hAnsi="Times New Roman"/>
        </w:rPr>
        <w:t xml:space="preserve"> tije</w:t>
      </w:r>
      <w:r w:rsidR="001B42AF" w:rsidRPr="00983FB8">
        <w:rPr>
          <w:rFonts w:ascii="Times New Roman" w:hAnsi="Times New Roman"/>
        </w:rPr>
        <w:t>kom 202</w:t>
      </w:r>
      <w:r>
        <w:rPr>
          <w:rFonts w:ascii="Times New Roman" w:hAnsi="Times New Roman"/>
        </w:rPr>
        <w:t>4</w:t>
      </w:r>
      <w:r w:rsidR="001B42AF" w:rsidRPr="00983FB8">
        <w:rPr>
          <w:rFonts w:ascii="Times New Roman" w:hAnsi="Times New Roman"/>
        </w:rPr>
        <w:t xml:space="preserve">. godine </w:t>
      </w:r>
      <w:r>
        <w:rPr>
          <w:rFonts w:ascii="Times New Roman" w:hAnsi="Times New Roman"/>
        </w:rPr>
        <w:t>iznosi 59,67%</w:t>
      </w:r>
      <w:r w:rsidR="00842B8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Veći dio tih</w:t>
      </w:r>
      <w:r w:rsidR="001B42AF" w:rsidRPr="00983FB8">
        <w:rPr>
          <w:rFonts w:ascii="Times New Roman" w:hAnsi="Times New Roman"/>
        </w:rPr>
        <w:t xml:space="preserve"> troškova </w:t>
      </w:r>
      <w:r>
        <w:rPr>
          <w:rFonts w:ascii="Times New Roman" w:hAnsi="Times New Roman"/>
        </w:rPr>
        <w:t>odnosi se na</w:t>
      </w:r>
      <w:r w:rsidR="001B42AF" w:rsidRPr="00983FB8">
        <w:rPr>
          <w:rFonts w:ascii="Times New Roman" w:hAnsi="Times New Roman"/>
        </w:rPr>
        <w:t xml:space="preserve"> izradu </w:t>
      </w:r>
      <w:r>
        <w:rPr>
          <w:rFonts w:ascii="Times New Roman" w:hAnsi="Times New Roman"/>
        </w:rPr>
        <w:t>Plana</w:t>
      </w:r>
      <w:r w:rsidR="00940114">
        <w:rPr>
          <w:rFonts w:ascii="Times New Roman" w:hAnsi="Times New Roman"/>
        </w:rPr>
        <w:t xml:space="preserve"> gospodarenj</w:t>
      </w:r>
      <w:r>
        <w:rPr>
          <w:rFonts w:ascii="Times New Roman" w:hAnsi="Times New Roman"/>
        </w:rPr>
        <w:t>a</w:t>
      </w:r>
      <w:r w:rsidR="00940114">
        <w:rPr>
          <w:rFonts w:ascii="Times New Roman" w:hAnsi="Times New Roman"/>
        </w:rPr>
        <w:t xml:space="preserve"> otpadom</w:t>
      </w:r>
      <w:r>
        <w:rPr>
          <w:rFonts w:ascii="Times New Roman" w:hAnsi="Times New Roman"/>
        </w:rPr>
        <w:t xml:space="preserve"> Bjelovarsko-bilogorske županije</w:t>
      </w:r>
      <w:r w:rsidR="00842B8B">
        <w:rPr>
          <w:rFonts w:ascii="Times New Roman" w:hAnsi="Times New Roman"/>
        </w:rPr>
        <w:t xml:space="preserve">, dok su ostala sredstva utrošena </w:t>
      </w:r>
      <w:r w:rsidR="00842B8B" w:rsidRPr="00842B8B">
        <w:rPr>
          <w:rFonts w:ascii="Times New Roman" w:hAnsi="Times New Roman"/>
        </w:rPr>
        <w:t>za provedbu mjera određenih Programom ublažavanja klimatskih promjena, prilagodbe klimatskim promjenama i zaštite ozonskog sloja Bjelovarsko-bilogorske županije</w:t>
      </w:r>
      <w:r w:rsidR="00842B8B">
        <w:rPr>
          <w:rFonts w:ascii="Times New Roman" w:hAnsi="Times New Roman"/>
        </w:rPr>
        <w:t xml:space="preserve"> u cilju </w:t>
      </w:r>
      <w:r w:rsidR="00842B8B" w:rsidRPr="00842B8B">
        <w:rPr>
          <w:rFonts w:ascii="Times New Roman" w:hAnsi="Times New Roman"/>
        </w:rPr>
        <w:t>ublaž</w:t>
      </w:r>
      <w:r w:rsidR="00842B8B">
        <w:rPr>
          <w:rFonts w:ascii="Times New Roman" w:hAnsi="Times New Roman"/>
        </w:rPr>
        <w:t>avanja</w:t>
      </w:r>
      <w:r w:rsidR="00842B8B" w:rsidRPr="00842B8B">
        <w:rPr>
          <w:rFonts w:ascii="Times New Roman" w:hAnsi="Times New Roman"/>
        </w:rPr>
        <w:t xml:space="preserve"> negativn</w:t>
      </w:r>
      <w:r w:rsidR="00842B8B">
        <w:rPr>
          <w:rFonts w:ascii="Times New Roman" w:hAnsi="Times New Roman"/>
        </w:rPr>
        <w:t>ih</w:t>
      </w:r>
      <w:r w:rsidR="00842B8B" w:rsidRPr="00842B8B">
        <w:rPr>
          <w:rFonts w:ascii="Times New Roman" w:hAnsi="Times New Roman"/>
        </w:rPr>
        <w:t xml:space="preserve"> posljedic</w:t>
      </w:r>
      <w:r w:rsidR="00842B8B">
        <w:rPr>
          <w:rFonts w:ascii="Times New Roman" w:hAnsi="Times New Roman"/>
        </w:rPr>
        <w:t>a</w:t>
      </w:r>
      <w:r w:rsidR="00842B8B" w:rsidRPr="00842B8B">
        <w:rPr>
          <w:rFonts w:ascii="Times New Roman" w:hAnsi="Times New Roman"/>
        </w:rPr>
        <w:t xml:space="preserve"> koje klimatske promjene mogu uzrokovati</w:t>
      </w:r>
      <w:r w:rsidR="00F84B88">
        <w:rPr>
          <w:rFonts w:ascii="Times New Roman" w:hAnsi="Times New Roman"/>
        </w:rPr>
        <w:t>.</w:t>
      </w:r>
      <w:r w:rsidR="001B42AF" w:rsidRPr="00983FB8">
        <w:rPr>
          <w:rFonts w:ascii="Times New Roman" w:hAnsi="Times New Roman"/>
        </w:rPr>
        <w:t xml:space="preserve"> </w:t>
      </w:r>
    </w:p>
    <w:p w14:paraId="2BFCC0C8" w14:textId="77777777" w:rsidR="00795B79" w:rsidRDefault="00795B79" w:rsidP="00252FD3">
      <w:pPr>
        <w:tabs>
          <w:tab w:val="left" w:pos="-1701"/>
        </w:tabs>
        <w:jc w:val="both"/>
        <w:rPr>
          <w:rFonts w:ascii="Times New Roman" w:hAnsi="Times New Roman"/>
        </w:rPr>
      </w:pPr>
    </w:p>
    <w:p w14:paraId="75C5CEA0" w14:textId="221C9C38" w:rsidR="00842B8B" w:rsidRDefault="00842B8B" w:rsidP="00795B7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</w:p>
    <w:p w14:paraId="3EA1E0E4" w14:textId="633D6EC8" w:rsidR="006D2440" w:rsidRDefault="006D2440" w:rsidP="00795B7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</w:p>
    <w:p w14:paraId="46CFD455" w14:textId="2E11AD60" w:rsidR="006D2440" w:rsidRDefault="006D2440" w:rsidP="00795B7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</w:p>
    <w:p w14:paraId="7735164F" w14:textId="77777777" w:rsidR="006D2440" w:rsidRDefault="006D2440" w:rsidP="00795B7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</w:p>
    <w:p w14:paraId="3DDB2D30" w14:textId="77777777" w:rsidR="00842B8B" w:rsidRPr="00096F2A" w:rsidRDefault="00842B8B" w:rsidP="00842B8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lastRenderedPageBreak/>
        <w:t xml:space="preserve">T000053 – </w:t>
      </w:r>
      <w:r w:rsidRPr="00C00BC2">
        <w:rPr>
          <w:rFonts w:ascii="Times New Roman" w:hAnsi="Times New Roman"/>
          <w:i/>
        </w:rPr>
        <w:t>Izrada programa zaštite okoliša BBŽ</w:t>
      </w:r>
    </w:p>
    <w:p w14:paraId="1C616208" w14:textId="4A06D5A8" w:rsidR="00842B8B" w:rsidRDefault="00842B8B" w:rsidP="00842B8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pacing w:val="-4"/>
        </w:rPr>
      </w:pPr>
      <w:bookmarkStart w:id="4" w:name="_Hlk102049774"/>
      <w:r w:rsidRPr="00C00BC2">
        <w:rPr>
          <w:rFonts w:ascii="Times New Roman" w:hAnsi="Times New Roman"/>
        </w:rPr>
        <w:t>Program zaštite okoliša jedan je od temeljnih dokumenata održivog razvitka i zaštite okoliša, te je</w:t>
      </w:r>
      <w:r>
        <w:rPr>
          <w:rFonts w:ascii="Times New Roman" w:hAnsi="Times New Roman"/>
        </w:rPr>
        <w:t xml:space="preserve"> </w:t>
      </w:r>
      <w:r w:rsidRPr="00C00BC2">
        <w:rPr>
          <w:rFonts w:ascii="Times New Roman" w:hAnsi="Times New Roman"/>
        </w:rPr>
        <w:t xml:space="preserve">obveza njegove izrade definirana </w:t>
      </w:r>
      <w:r>
        <w:rPr>
          <w:rFonts w:ascii="Times New Roman" w:hAnsi="Times New Roman"/>
        </w:rPr>
        <w:t>č</w:t>
      </w:r>
      <w:r w:rsidRPr="00C00BC2">
        <w:rPr>
          <w:rFonts w:ascii="Times New Roman" w:hAnsi="Times New Roman"/>
        </w:rPr>
        <w:t>lankom 53. Zakona o zaštiti okoliša (NN 80/13, 153/13, 78/15,</w:t>
      </w:r>
      <w:r>
        <w:rPr>
          <w:rFonts w:ascii="Times New Roman" w:hAnsi="Times New Roman"/>
        </w:rPr>
        <w:t xml:space="preserve"> </w:t>
      </w:r>
      <w:r w:rsidRPr="00C00BC2">
        <w:rPr>
          <w:rFonts w:ascii="Times New Roman" w:hAnsi="Times New Roman"/>
        </w:rPr>
        <w:t xml:space="preserve">12/18, 118/18). </w:t>
      </w:r>
      <w:r>
        <w:rPr>
          <w:rFonts w:ascii="Times New Roman" w:hAnsi="Times New Roman"/>
        </w:rPr>
        <w:t>U promatranom razdoblju nije bilo aktivnosti vezano uz ovaj program</w:t>
      </w:r>
      <w:r w:rsidRPr="00055EF9">
        <w:rPr>
          <w:rFonts w:ascii="Times New Roman" w:hAnsi="Times New Roman"/>
          <w:spacing w:val="-4"/>
        </w:rPr>
        <w:t>.</w:t>
      </w:r>
      <w:bookmarkEnd w:id="4"/>
      <w:r>
        <w:rPr>
          <w:rFonts w:ascii="Times New Roman" w:hAnsi="Times New Roman"/>
          <w:spacing w:val="-4"/>
        </w:rPr>
        <w:t xml:space="preserve"> </w:t>
      </w:r>
    </w:p>
    <w:p w14:paraId="033F7151" w14:textId="77777777" w:rsidR="00842B8B" w:rsidRPr="00055EF9" w:rsidRDefault="00842B8B" w:rsidP="00842B8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pacing w:val="-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842B8B" w:rsidRPr="00E55B2F" w14:paraId="2C1981BF" w14:textId="77777777" w:rsidTr="005A5440">
        <w:trPr>
          <w:trHeight w:val="322"/>
        </w:trPr>
        <w:tc>
          <w:tcPr>
            <w:tcW w:w="2559" w:type="dxa"/>
            <w:shd w:val="clear" w:color="auto" w:fill="B5C0D8"/>
          </w:tcPr>
          <w:p w14:paraId="52113FD5" w14:textId="5355DC30" w:rsidR="00842B8B" w:rsidRPr="00CD027A" w:rsidRDefault="00842B8B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7ACAAD16" w14:textId="63DF4D8C" w:rsidR="00842B8B" w:rsidRPr="00CD027A" w:rsidRDefault="00842B8B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174" w:type="dxa"/>
            <w:shd w:val="clear" w:color="auto" w:fill="B5C0D8"/>
          </w:tcPr>
          <w:p w14:paraId="4C5F159C" w14:textId="34FF1EBC" w:rsidR="00842B8B" w:rsidRPr="00CD027A" w:rsidRDefault="00842B8B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Izvršenje 2024. </w:t>
            </w:r>
          </w:p>
        </w:tc>
        <w:tc>
          <w:tcPr>
            <w:tcW w:w="2335" w:type="dxa"/>
            <w:shd w:val="clear" w:color="auto" w:fill="B5C0D8"/>
          </w:tcPr>
          <w:p w14:paraId="76CCDBCF" w14:textId="77777777" w:rsidR="00842B8B" w:rsidRPr="00CD027A" w:rsidRDefault="00842B8B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842B8B" w:rsidRPr="00E55B2F" w14:paraId="20D29766" w14:textId="77777777" w:rsidTr="005A5440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69934571" w14:textId="355F8D7E" w:rsidR="00842B8B" w:rsidRPr="00E55B2F" w:rsidRDefault="00842B8B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20.300,00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1DBDDB6" w14:textId="5B86897B" w:rsidR="00842B8B" w:rsidRPr="00E55B2F" w:rsidRDefault="00842B8B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20.300,00</w:t>
            </w:r>
          </w:p>
        </w:tc>
        <w:tc>
          <w:tcPr>
            <w:tcW w:w="2174" w:type="dxa"/>
          </w:tcPr>
          <w:p w14:paraId="7AD56AE7" w14:textId="77777777" w:rsidR="00842B8B" w:rsidRDefault="00842B8B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8730D50" w14:textId="77777777" w:rsidR="00842B8B" w:rsidRPr="00E55B2F" w:rsidRDefault="00842B8B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D7BA402" w14:textId="77777777" w:rsidR="00842B8B" w:rsidRDefault="00842B8B" w:rsidP="00842B8B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b/>
        </w:rPr>
      </w:pPr>
    </w:p>
    <w:p w14:paraId="1A7C87B5" w14:textId="427BABD3" w:rsidR="00252FD3" w:rsidRPr="00096F2A" w:rsidRDefault="00252FD3" w:rsidP="00795B7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T000</w:t>
      </w:r>
      <w:r>
        <w:rPr>
          <w:rFonts w:ascii="Times New Roman" w:hAnsi="Times New Roman"/>
          <w:b/>
        </w:rPr>
        <w:t>1</w:t>
      </w:r>
      <w:r w:rsidRPr="00E55B2F">
        <w:rPr>
          <w:rFonts w:ascii="Times New Roman" w:hAnsi="Times New Roman"/>
          <w:b/>
        </w:rPr>
        <w:t xml:space="preserve">53 – </w:t>
      </w:r>
      <w:r w:rsidRPr="00C00BC2">
        <w:rPr>
          <w:rFonts w:ascii="Times New Roman" w:hAnsi="Times New Roman"/>
          <w:i/>
        </w:rPr>
        <w:t xml:space="preserve">Izrada </w:t>
      </w:r>
      <w:r>
        <w:rPr>
          <w:rFonts w:ascii="Times New Roman" w:hAnsi="Times New Roman"/>
          <w:i/>
        </w:rPr>
        <w:t>plana gospodarenja otpadom</w:t>
      </w:r>
    </w:p>
    <w:p w14:paraId="59F0C555" w14:textId="462AC1F4" w:rsidR="00795B79" w:rsidRDefault="00F84B88" w:rsidP="00252FD3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Sredstva planirana za izradu Plana gospodarenja otpadom Bjelovarsko-bilogorske županije u iznosu </w:t>
      </w:r>
      <w:r w:rsidR="00842B8B">
        <w:rPr>
          <w:rFonts w:ascii="Times New Roman" w:hAnsi="Times New Roman"/>
        </w:rPr>
        <w:t>40.500,00</w:t>
      </w:r>
      <w:r>
        <w:rPr>
          <w:rFonts w:ascii="Times New Roman" w:hAnsi="Times New Roman"/>
        </w:rPr>
        <w:t xml:space="preserve"> € ostvarena</w:t>
      </w:r>
      <w:r w:rsidR="00842B8B">
        <w:rPr>
          <w:rFonts w:ascii="Times New Roman" w:hAnsi="Times New Roman"/>
        </w:rPr>
        <w:t xml:space="preserve"> su</w:t>
      </w:r>
      <w:r>
        <w:rPr>
          <w:rFonts w:ascii="Times New Roman" w:hAnsi="Times New Roman"/>
        </w:rPr>
        <w:t xml:space="preserve"> u</w:t>
      </w:r>
      <w:r w:rsidR="00E54954">
        <w:rPr>
          <w:rFonts w:ascii="Times New Roman" w:hAnsi="Times New Roman"/>
        </w:rPr>
        <w:t xml:space="preserve"> iznosu 40.475,00 €, odnosno 99,94%. Plan gospodarenja otpadom Bjelovarsko-bilogorske županije dovršen je tijekom</w:t>
      </w:r>
      <w:r>
        <w:rPr>
          <w:rFonts w:ascii="Times New Roman" w:hAnsi="Times New Roman"/>
        </w:rPr>
        <w:t xml:space="preserve"> 2024. godin</w:t>
      </w:r>
      <w:r w:rsidR="00E54954">
        <w:rPr>
          <w:rFonts w:ascii="Times New Roman" w:hAnsi="Times New Roman"/>
        </w:rPr>
        <w:t>e te je donesen 12. prosinca 2024. godine na 20. sjednici Županijske skupštine Bjelovarsko-bilogorske županije</w:t>
      </w:r>
      <w:r>
        <w:rPr>
          <w:rFonts w:ascii="Times New Roman" w:hAnsi="Times New Roman"/>
        </w:rPr>
        <w:t>.</w:t>
      </w:r>
    </w:p>
    <w:p w14:paraId="0AED3E6E" w14:textId="77777777" w:rsidR="00E54954" w:rsidRPr="00F65AFD" w:rsidRDefault="00E54954" w:rsidP="00252FD3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pacing w:val="-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795B79" w:rsidRPr="00E55B2F" w14:paraId="550C1DF9" w14:textId="77777777" w:rsidTr="0081509E">
        <w:trPr>
          <w:trHeight w:val="322"/>
        </w:trPr>
        <w:tc>
          <w:tcPr>
            <w:tcW w:w="2559" w:type="dxa"/>
            <w:shd w:val="clear" w:color="auto" w:fill="B5C0D8"/>
          </w:tcPr>
          <w:p w14:paraId="04CF32E3" w14:textId="7B8C4C71" w:rsidR="00795B79" w:rsidRPr="00CD027A" w:rsidRDefault="00795B79" w:rsidP="0081509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E54954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1BDFDC40" w14:textId="3185B969" w:rsidR="00795B79" w:rsidRPr="00CD027A" w:rsidRDefault="00795B79" w:rsidP="0081509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E54954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74" w:type="dxa"/>
            <w:shd w:val="clear" w:color="auto" w:fill="B5C0D8"/>
          </w:tcPr>
          <w:p w14:paraId="7611360C" w14:textId="53EFE69C" w:rsidR="00795B79" w:rsidRPr="00CD027A" w:rsidRDefault="00795B79" w:rsidP="0081509E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E54954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2335" w:type="dxa"/>
            <w:shd w:val="clear" w:color="auto" w:fill="B5C0D8"/>
          </w:tcPr>
          <w:p w14:paraId="0D537069" w14:textId="77777777" w:rsidR="00795B79" w:rsidRPr="00CD027A" w:rsidRDefault="00795B79" w:rsidP="0081509E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795B79" w:rsidRPr="00E55B2F" w14:paraId="25163F44" w14:textId="77777777" w:rsidTr="0081509E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4CE6AB47" w14:textId="4104F30F" w:rsidR="00795B79" w:rsidRPr="00E55B2F" w:rsidRDefault="00E5495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40.500</w:t>
            </w:r>
            <w:r w:rsidR="00795B79">
              <w:rPr>
                <w:rFonts w:ascii="Times New Roman" w:hAnsi="Times New Roman"/>
              </w:rPr>
              <w:t>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4845AA1E" w14:textId="27340FDF" w:rsidR="00795B79" w:rsidRPr="00E55B2F" w:rsidRDefault="00E5495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40.5</w:t>
            </w:r>
            <w:r w:rsidR="00795B79">
              <w:rPr>
                <w:rFonts w:ascii="Times New Roman" w:hAnsi="Times New Roman"/>
              </w:rPr>
              <w:t>00,00</w:t>
            </w:r>
          </w:p>
        </w:tc>
        <w:tc>
          <w:tcPr>
            <w:tcW w:w="2174" w:type="dxa"/>
          </w:tcPr>
          <w:p w14:paraId="339C2D3F" w14:textId="020599F9" w:rsidR="00795B79" w:rsidRDefault="00E5495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40.475,00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9809664" w14:textId="6BE5890D" w:rsidR="00795B79" w:rsidRPr="00E55B2F" w:rsidRDefault="00E54954" w:rsidP="0081509E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795B7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94</w:t>
            </w:r>
          </w:p>
        </w:tc>
      </w:tr>
    </w:tbl>
    <w:p w14:paraId="6185CB60" w14:textId="77777777" w:rsidR="00252FD3" w:rsidRDefault="00252FD3" w:rsidP="00E54954">
      <w:pPr>
        <w:spacing w:line="360" w:lineRule="auto"/>
        <w:rPr>
          <w:rFonts w:ascii="Times New Roman" w:hAnsi="Times New Roman"/>
          <w:b/>
        </w:rPr>
      </w:pPr>
    </w:p>
    <w:p w14:paraId="0654A995" w14:textId="77777777" w:rsidR="00E54954" w:rsidRPr="00096F2A" w:rsidRDefault="00E54954" w:rsidP="00E5495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T000</w:t>
      </w:r>
      <w:r>
        <w:rPr>
          <w:rFonts w:ascii="Times New Roman" w:hAnsi="Times New Roman"/>
          <w:b/>
        </w:rPr>
        <w:t>1</w:t>
      </w:r>
      <w:r w:rsidRPr="00E55B2F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4</w:t>
      </w:r>
      <w:r w:rsidRPr="00E55B2F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i/>
        </w:rPr>
        <w:t>Provedba mjera prilagodbe i ublažavanja klimatskih promjena i zaštite ozonskog sloja</w:t>
      </w:r>
    </w:p>
    <w:p w14:paraId="78FA5B4B" w14:textId="1530CDAD" w:rsidR="00E54954" w:rsidRPr="00E55B2F" w:rsidRDefault="00E54954" w:rsidP="00E5495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 okviru ove aktivnosti planirana su sredstva za provedbu mjera</w:t>
      </w:r>
      <w:r w:rsidRPr="006358BF">
        <w:rPr>
          <w:rFonts w:ascii="Times New Roman" w:hAnsi="Times New Roman"/>
        </w:rPr>
        <w:t xml:space="preserve"> prilagodbe i ublažavanja klimatskih promjena i zaštite ozonskog sloja</w:t>
      </w:r>
      <w:r w:rsidRPr="006338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 uključuju p</w:t>
      </w:r>
      <w:r w:rsidRPr="0063387C">
        <w:rPr>
          <w:rFonts w:ascii="Times New Roman" w:hAnsi="Times New Roman"/>
        </w:rPr>
        <w:t>romotivne, informativne i obrazovne mjere i aktivnosti u cilju jačanja svijesti o događajima povezanima s klimatskim promjenama u lokalnoj zajednici</w:t>
      </w:r>
      <w:r>
        <w:rPr>
          <w:rFonts w:ascii="Times New Roman" w:hAnsi="Times New Roman"/>
        </w:rPr>
        <w:t>. U 2024. godini nije bilo ostvarenja sredstava unutar ove aktivnosti.</w:t>
      </w:r>
    </w:p>
    <w:p w14:paraId="073C06A6" w14:textId="72EE3F6C" w:rsidR="00E54954" w:rsidRDefault="00E54954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E54954" w:rsidRPr="00E55B2F" w14:paraId="5557949A" w14:textId="77777777" w:rsidTr="005A5440">
        <w:trPr>
          <w:trHeight w:val="322"/>
        </w:trPr>
        <w:tc>
          <w:tcPr>
            <w:tcW w:w="2559" w:type="dxa"/>
            <w:shd w:val="clear" w:color="auto" w:fill="B5C0D8"/>
          </w:tcPr>
          <w:p w14:paraId="6CE51D31" w14:textId="77777777" w:rsidR="00E54954" w:rsidRPr="00CD027A" w:rsidRDefault="00E54954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2C9DC090" w14:textId="77777777" w:rsidR="00E54954" w:rsidRPr="00CD027A" w:rsidRDefault="00E54954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174" w:type="dxa"/>
            <w:shd w:val="clear" w:color="auto" w:fill="B5C0D8"/>
          </w:tcPr>
          <w:p w14:paraId="3AF10D2F" w14:textId="77777777" w:rsidR="00E54954" w:rsidRPr="00CD027A" w:rsidRDefault="00E54954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Izvršenje 2024. </w:t>
            </w:r>
          </w:p>
        </w:tc>
        <w:tc>
          <w:tcPr>
            <w:tcW w:w="2335" w:type="dxa"/>
            <w:shd w:val="clear" w:color="auto" w:fill="B5C0D8"/>
          </w:tcPr>
          <w:p w14:paraId="4C9398BE" w14:textId="77777777" w:rsidR="00E54954" w:rsidRPr="00CD027A" w:rsidRDefault="00E54954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E54954" w:rsidRPr="00E55B2F" w14:paraId="6C85C970" w14:textId="77777777" w:rsidTr="005A5440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1BECC126" w14:textId="26911EE8" w:rsidR="00E54954" w:rsidRPr="00E55B2F" w:rsidRDefault="00E54954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9.258,00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64BA832D" w14:textId="24665E51" w:rsidR="00E54954" w:rsidRPr="00E55B2F" w:rsidRDefault="00E54954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9.258,00</w:t>
            </w:r>
          </w:p>
        </w:tc>
        <w:tc>
          <w:tcPr>
            <w:tcW w:w="2174" w:type="dxa"/>
          </w:tcPr>
          <w:p w14:paraId="62475446" w14:textId="035FF5B4" w:rsidR="00E54954" w:rsidRDefault="00E54954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578F617" w14:textId="7120B018" w:rsidR="00E54954" w:rsidRPr="00E55B2F" w:rsidRDefault="00E54954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390416A2" w14:textId="77777777" w:rsidR="00E54954" w:rsidRDefault="00E54954" w:rsidP="00E54954">
      <w:pPr>
        <w:spacing w:line="360" w:lineRule="auto"/>
        <w:jc w:val="both"/>
        <w:rPr>
          <w:rFonts w:ascii="Times New Roman" w:hAnsi="Times New Roman"/>
          <w:szCs w:val="24"/>
          <w:lang w:val="hr-HR"/>
        </w:rPr>
      </w:pPr>
    </w:p>
    <w:p w14:paraId="0305FD41" w14:textId="66DA4298" w:rsidR="00703D80" w:rsidRPr="00096F2A" w:rsidRDefault="00703D80" w:rsidP="00703D8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T000</w:t>
      </w:r>
      <w:r>
        <w:rPr>
          <w:rFonts w:ascii="Times New Roman" w:hAnsi="Times New Roman"/>
          <w:b/>
        </w:rPr>
        <w:t>1</w:t>
      </w:r>
      <w:r w:rsidRPr="00E55B2F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5</w:t>
      </w:r>
      <w:r w:rsidRPr="00E55B2F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i/>
        </w:rPr>
        <w:t>Provedba mjera prilagodbe i ublažavanja klimatskih promjena i zaštite ozonskog sloja -energetska učinkovitost</w:t>
      </w:r>
    </w:p>
    <w:p w14:paraId="17D1675B" w14:textId="78BF991F" w:rsidR="00703D80" w:rsidRPr="00E55B2F" w:rsidRDefault="00703D80" w:rsidP="00703D80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6358BF">
        <w:rPr>
          <w:rFonts w:ascii="Times New Roman" w:hAnsi="Times New Roman"/>
        </w:rPr>
        <w:t>Programom ublažavanja klimatskih promjena, prilagodbe klimatskim promjenama i zaštite ozonskog sloja Bjelovarsko-bilogorske županije</w:t>
      </w:r>
      <w:r>
        <w:rPr>
          <w:rFonts w:ascii="Times New Roman" w:hAnsi="Times New Roman"/>
        </w:rPr>
        <w:t xml:space="preserve"> određene su mjere kojima je cilj promovirati i približiti energetsku učinkovitost građanima, zatim uspostava sustava praćenja i upravljanja energijom u zgradama Županijske uprave i ustanovama, izrada dokumenata iz domene energetske učinkovitosti te je za njihovu provedbu planirano 10.000,00 € u 2024. godini. U 2024. godini nije bilo ostvarenja sredstava unutar ove aktivnosti.</w:t>
      </w:r>
    </w:p>
    <w:p w14:paraId="036010C6" w14:textId="177028E4" w:rsidR="00E54954" w:rsidRDefault="00E54954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703D80" w:rsidRPr="00E55B2F" w14:paraId="15F2350E" w14:textId="77777777" w:rsidTr="005A5440">
        <w:trPr>
          <w:trHeight w:val="322"/>
        </w:trPr>
        <w:tc>
          <w:tcPr>
            <w:tcW w:w="2559" w:type="dxa"/>
            <w:shd w:val="clear" w:color="auto" w:fill="B5C0D8"/>
          </w:tcPr>
          <w:p w14:paraId="11EEBB7B" w14:textId="77777777" w:rsidR="00703D80" w:rsidRPr="00CD027A" w:rsidRDefault="00703D80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0E9B1B5A" w14:textId="77777777" w:rsidR="00703D80" w:rsidRPr="00CD027A" w:rsidRDefault="00703D80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174" w:type="dxa"/>
            <w:shd w:val="clear" w:color="auto" w:fill="B5C0D8"/>
          </w:tcPr>
          <w:p w14:paraId="6F7511FA" w14:textId="77777777" w:rsidR="00703D80" w:rsidRPr="00CD027A" w:rsidRDefault="00703D80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Izvršenje 2024. </w:t>
            </w:r>
          </w:p>
        </w:tc>
        <w:tc>
          <w:tcPr>
            <w:tcW w:w="2335" w:type="dxa"/>
            <w:shd w:val="clear" w:color="auto" w:fill="B5C0D8"/>
          </w:tcPr>
          <w:p w14:paraId="793F8C31" w14:textId="77777777" w:rsidR="00703D80" w:rsidRPr="00CD027A" w:rsidRDefault="00703D80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703D80" w:rsidRPr="00E55B2F" w14:paraId="22AD55FE" w14:textId="77777777" w:rsidTr="005A5440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07EA1A4E" w14:textId="02DE1742" w:rsidR="00703D80" w:rsidRPr="00E55B2F" w:rsidRDefault="00703D8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AFFC900" w14:textId="0CE16146" w:rsidR="00703D80" w:rsidRPr="00E55B2F" w:rsidRDefault="00703D8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</w:t>
            </w:r>
          </w:p>
        </w:tc>
        <w:tc>
          <w:tcPr>
            <w:tcW w:w="2174" w:type="dxa"/>
          </w:tcPr>
          <w:p w14:paraId="01CED45A" w14:textId="77777777" w:rsidR="00703D80" w:rsidRDefault="00703D8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6B541E1" w14:textId="77777777" w:rsidR="00703D80" w:rsidRPr="00E55B2F" w:rsidRDefault="00703D8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44DD65B4" w14:textId="0E108481" w:rsidR="00E54954" w:rsidRDefault="00E54954" w:rsidP="00703D80">
      <w:pPr>
        <w:spacing w:line="360" w:lineRule="auto"/>
        <w:jc w:val="both"/>
        <w:rPr>
          <w:rFonts w:ascii="Times New Roman" w:hAnsi="Times New Roman"/>
          <w:szCs w:val="24"/>
          <w:lang w:val="hr-HR"/>
        </w:rPr>
      </w:pPr>
    </w:p>
    <w:p w14:paraId="50C2E946" w14:textId="77777777" w:rsidR="00703D80" w:rsidRPr="00096F2A" w:rsidRDefault="00703D80" w:rsidP="00703D80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T000</w:t>
      </w:r>
      <w:r>
        <w:rPr>
          <w:rFonts w:ascii="Times New Roman" w:hAnsi="Times New Roman"/>
          <w:b/>
        </w:rPr>
        <w:t>1</w:t>
      </w:r>
      <w:r w:rsidRPr="00E55B2F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6</w:t>
      </w:r>
      <w:r w:rsidRPr="00E55B2F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i/>
        </w:rPr>
        <w:t>Provedba mjera prilagodbe i ublažavanja klimatskih promjena i zaštite ozonskog sloja – zelena infrastruktura</w:t>
      </w:r>
    </w:p>
    <w:p w14:paraId="1A543EFE" w14:textId="05DE08C8" w:rsidR="002F0372" w:rsidRPr="00E55B2F" w:rsidRDefault="002F0372" w:rsidP="002F0372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Bjelovarsko-bilogorska županija je u travnju 2024. godine prijavila projekt </w:t>
      </w:r>
      <w:r w:rsidRPr="00385A59">
        <w:rPr>
          <w:rFonts w:ascii="Times New Roman" w:hAnsi="Times New Roman"/>
        </w:rPr>
        <w:t>„Drvo više - Županija diše“ na Javni poziv za neposredno sufinanciranje provedbe mjera prilagodbe klimatskim promjenama u svrhu jačanja otpornosti urbanih sredina (JP ZO – 5/2024)</w:t>
      </w:r>
      <w:r>
        <w:rPr>
          <w:rFonts w:ascii="Times New Roman" w:hAnsi="Times New Roman"/>
        </w:rPr>
        <w:t xml:space="preserve"> Fonda za zaštitu okoliša i energetske učinkovitosti. Projekt je prihvaćen te će od ukupno 109.023,03 € prihvatljivih troškova</w:t>
      </w:r>
      <w:r w:rsidRPr="00385A5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Fond sufinancirati 80% odnosno 87.218,42 eura. Projekt obuhvaća tri aktivnosti: ozelenjavanje javnih površina, izgradnja javnih slavina i informativno edukativne aktivnosti, a rok za provedbu projekta je 30 mjeseci. U 2024. godini u okviru projekta izrađena je projektna dokumentacija za ozelenjavanje </w:t>
      </w:r>
      <w:r>
        <w:rPr>
          <w:rFonts w:ascii="Times New Roman" w:hAnsi="Times New Roman"/>
        </w:rPr>
        <w:lastRenderedPageBreak/>
        <w:t>javnih površina i postavljanje javnih slavina s pitkom vodom za što je utrošeno 25.500,00 €, odnosno 83,61% od ukupno planiranih 30.500,00 €.</w:t>
      </w:r>
    </w:p>
    <w:p w14:paraId="607C0675" w14:textId="2D015E5B" w:rsidR="00703D80" w:rsidRPr="00E55B2F" w:rsidRDefault="00703D80" w:rsidP="00703D80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2566"/>
        <w:gridCol w:w="2174"/>
        <w:gridCol w:w="2335"/>
      </w:tblGrid>
      <w:tr w:rsidR="006D2440" w:rsidRPr="00E55B2F" w14:paraId="50F45D9D" w14:textId="77777777" w:rsidTr="005A5440">
        <w:trPr>
          <w:trHeight w:val="322"/>
        </w:trPr>
        <w:tc>
          <w:tcPr>
            <w:tcW w:w="2559" w:type="dxa"/>
            <w:shd w:val="clear" w:color="auto" w:fill="B5C0D8"/>
          </w:tcPr>
          <w:p w14:paraId="4E7E3081" w14:textId="77777777" w:rsidR="006D2440" w:rsidRPr="00CD027A" w:rsidRDefault="006D2440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 2024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6" w:type="dxa"/>
            <w:shd w:val="clear" w:color="auto" w:fill="B5C0D8"/>
          </w:tcPr>
          <w:p w14:paraId="5A179BEE" w14:textId="77777777" w:rsidR="006D2440" w:rsidRPr="00CD027A" w:rsidRDefault="006D2440" w:rsidP="005A54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174" w:type="dxa"/>
            <w:shd w:val="clear" w:color="auto" w:fill="B5C0D8"/>
          </w:tcPr>
          <w:p w14:paraId="56C5D5D9" w14:textId="77777777" w:rsidR="006D2440" w:rsidRPr="00CD027A" w:rsidRDefault="006D2440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Izvršenje 2024. </w:t>
            </w:r>
          </w:p>
        </w:tc>
        <w:tc>
          <w:tcPr>
            <w:tcW w:w="2335" w:type="dxa"/>
            <w:shd w:val="clear" w:color="auto" w:fill="B5C0D8"/>
          </w:tcPr>
          <w:p w14:paraId="7EA9BE3E" w14:textId="77777777" w:rsidR="006D2440" w:rsidRPr="00CD027A" w:rsidRDefault="006D2440" w:rsidP="005A544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6D2440" w:rsidRPr="00E55B2F" w14:paraId="7E951479" w14:textId="77777777" w:rsidTr="005A5440">
        <w:trPr>
          <w:trHeight w:val="310"/>
        </w:trPr>
        <w:tc>
          <w:tcPr>
            <w:tcW w:w="2559" w:type="dxa"/>
            <w:shd w:val="clear" w:color="auto" w:fill="auto"/>
            <w:vAlign w:val="center"/>
          </w:tcPr>
          <w:p w14:paraId="49B82B13" w14:textId="3F6D4AFF" w:rsidR="006D2440" w:rsidRPr="00E55B2F" w:rsidRDefault="006D244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30.500,00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95945FA" w14:textId="6EFDEE0B" w:rsidR="006D2440" w:rsidRPr="00E55B2F" w:rsidRDefault="006D244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30.500,00</w:t>
            </w:r>
          </w:p>
        </w:tc>
        <w:tc>
          <w:tcPr>
            <w:tcW w:w="2174" w:type="dxa"/>
          </w:tcPr>
          <w:p w14:paraId="30DE6C00" w14:textId="60945326" w:rsidR="006D2440" w:rsidRDefault="006D244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25.500,00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FE21038" w14:textId="7AB64D19" w:rsidR="006D2440" w:rsidRPr="00E55B2F" w:rsidRDefault="006D2440" w:rsidP="005A5440">
            <w:pPr>
              <w:tabs>
                <w:tab w:val="left" w:pos="680"/>
                <w:tab w:val="left" w:pos="1122"/>
                <w:tab w:val="center" w:pos="7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83,61</w:t>
            </w:r>
          </w:p>
        </w:tc>
      </w:tr>
    </w:tbl>
    <w:p w14:paraId="2AB7FF0A" w14:textId="6FBFE29E" w:rsidR="00E54954" w:rsidRDefault="00E54954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2F65CC3F" w14:textId="6F5968AC" w:rsidR="00E54954" w:rsidRDefault="00E54954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54117BE1" w14:textId="77777777" w:rsidR="00E54954" w:rsidRDefault="00E54954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4CA40FDE" w14:textId="77777777" w:rsidR="008A0189" w:rsidRDefault="008A0189" w:rsidP="008A0189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p w14:paraId="4D019ADA" w14:textId="77777777" w:rsidR="00795B79" w:rsidRPr="008A0189" w:rsidRDefault="00795B79" w:rsidP="008A0189">
      <w:pPr>
        <w:rPr>
          <w:rFonts w:ascii="Times New Roman" w:hAnsi="Times New Roman"/>
          <w:b/>
          <w:szCs w:val="24"/>
          <w:lang w:val="hr-HR"/>
        </w:rPr>
      </w:pP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8A0189" w:rsidRPr="00CD027A" w14:paraId="111E360E" w14:textId="77777777" w:rsidTr="00E40577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19E89EA" w14:textId="77777777" w:rsidR="008A0189" w:rsidRPr="00CD027A" w:rsidRDefault="008A0189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A1DC55A" w14:textId="77777777" w:rsidR="008A0189" w:rsidRPr="00CD027A" w:rsidRDefault="008A0189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328E462" w14:textId="77777777" w:rsidR="008A0189" w:rsidRPr="00CD027A" w:rsidRDefault="008A0189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2CE89E1" w14:textId="77777777" w:rsidR="008A0189" w:rsidRPr="00CD027A" w:rsidRDefault="008A0189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88C1D08" w14:textId="33B2F4F5" w:rsidR="008A0189" w:rsidRPr="00CD027A" w:rsidRDefault="008A0189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D065AF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242A0C3" w14:textId="736C3298" w:rsidR="008A0189" w:rsidRPr="00CD027A" w:rsidRDefault="008A0189" w:rsidP="00E405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Ostvarena vrijednost </w:t>
            </w:r>
            <w:r w:rsidRPr="00A57884">
              <w:rPr>
                <w:rFonts w:ascii="Times New Roman" w:hAnsi="Times New Roman" w:cs="Times New Roman"/>
                <w:b/>
                <w:sz w:val="22"/>
                <w:szCs w:val="24"/>
                <w:lang w:val="hr-HR"/>
              </w:rPr>
              <w:t>202</w:t>
            </w:r>
            <w:r w:rsidR="00D065AF">
              <w:rPr>
                <w:rFonts w:ascii="Times New Roman" w:hAnsi="Times New Roman" w:cs="Times New Roman"/>
                <w:b/>
                <w:sz w:val="22"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F84B88" w:rsidRPr="00CD027A" w14:paraId="79CF6D37" w14:textId="77777777" w:rsidTr="00E40577">
        <w:trPr>
          <w:trHeight w:val="520"/>
        </w:trPr>
        <w:tc>
          <w:tcPr>
            <w:tcW w:w="2122" w:type="dxa"/>
            <w:vAlign w:val="center"/>
          </w:tcPr>
          <w:p w14:paraId="4F0C6910" w14:textId="77777777" w:rsidR="00F84B88" w:rsidRPr="00517CBE" w:rsidRDefault="00F84B88" w:rsidP="00F8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Broj strateških dokumenata</w:t>
            </w:r>
          </w:p>
        </w:tc>
        <w:tc>
          <w:tcPr>
            <w:tcW w:w="1842" w:type="dxa"/>
            <w:vAlign w:val="center"/>
          </w:tcPr>
          <w:p w14:paraId="2A276A93" w14:textId="77777777" w:rsidR="00F84B88" w:rsidRPr="00517CBE" w:rsidRDefault="00F84B88" w:rsidP="00F8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Pokazatelj se odnosi na izradu dokumenata iz područja </w:t>
            </w:r>
            <w:r w:rsidR="001B7194">
              <w:rPr>
                <w:rFonts w:ascii="Times New Roman" w:hAnsi="Times New Roman" w:cs="Times New Roman"/>
                <w:sz w:val="20"/>
                <w:szCs w:val="20"/>
              </w:rPr>
              <w:t>gospodarenja otpadom</w:t>
            </w:r>
          </w:p>
        </w:tc>
        <w:tc>
          <w:tcPr>
            <w:tcW w:w="1418" w:type="dxa"/>
            <w:vAlign w:val="center"/>
          </w:tcPr>
          <w:p w14:paraId="45304220" w14:textId="77777777" w:rsidR="00F84B88" w:rsidRPr="00517CBE" w:rsidRDefault="00F84B88" w:rsidP="00F8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</w:p>
        </w:tc>
        <w:tc>
          <w:tcPr>
            <w:tcW w:w="1417" w:type="dxa"/>
            <w:vAlign w:val="center"/>
          </w:tcPr>
          <w:p w14:paraId="67658C5B" w14:textId="77777777" w:rsidR="00F84B88" w:rsidRPr="00517CBE" w:rsidRDefault="00F84B88" w:rsidP="00F8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14:paraId="3DC66AE2" w14:textId="77777777" w:rsidR="00F84B88" w:rsidRPr="00517CBE" w:rsidRDefault="00F84B88" w:rsidP="00F8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14:paraId="7FFF222F" w14:textId="4FF2B54C" w:rsidR="00F84B88" w:rsidRPr="00517CBE" w:rsidRDefault="006D2440" w:rsidP="00F84B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259DD8D5" w14:textId="77777777"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39434FA" w14:textId="77777777" w:rsidR="0022147C" w:rsidRPr="001B418B" w:rsidRDefault="0022147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57C12D3E" w14:textId="77777777" w:rsidR="0022147C" w:rsidRPr="00247AD4" w:rsidRDefault="00247AD4" w:rsidP="001B7194">
      <w:pPr>
        <w:spacing w:line="276" w:lineRule="auto"/>
        <w:ind w:left="4820"/>
        <w:jc w:val="center"/>
        <w:rPr>
          <w:rFonts w:ascii="Times New Roman" w:hAnsi="Times New Roman"/>
          <w:b/>
          <w:color w:val="000000" w:themeColor="text1"/>
          <w:szCs w:val="24"/>
          <w:lang w:val="hr-HR"/>
        </w:rPr>
      </w:pPr>
      <w:r w:rsidRPr="00247AD4">
        <w:rPr>
          <w:rFonts w:ascii="Times New Roman" w:eastAsia="MS Reference 2" w:hAnsi="Times New Roman"/>
          <w:b/>
          <w:bCs/>
          <w:noProof/>
          <w:color w:val="000000" w:themeColor="text1"/>
          <w:lang w:val="hr-HR"/>
        </w:rPr>
        <w:t>PROČELNIC</w:t>
      </w:r>
      <w:r w:rsidR="001B7194">
        <w:rPr>
          <w:rFonts w:ascii="Times New Roman" w:eastAsia="MS Reference 2" w:hAnsi="Times New Roman"/>
          <w:b/>
          <w:bCs/>
          <w:noProof/>
          <w:color w:val="000000" w:themeColor="text1"/>
          <w:lang w:val="hr-HR"/>
        </w:rPr>
        <w:t>A</w:t>
      </w:r>
    </w:p>
    <w:p w14:paraId="28F175DF" w14:textId="77777777" w:rsidR="001B7194" w:rsidRPr="00E55B2F" w:rsidRDefault="001B7194" w:rsidP="001B7194">
      <w:pPr>
        <w:tabs>
          <w:tab w:val="left" w:pos="1080"/>
        </w:tabs>
        <w:overflowPunct w:val="0"/>
        <w:autoSpaceDE w:val="0"/>
        <w:autoSpaceDN w:val="0"/>
        <w:adjustRightInd w:val="0"/>
        <w:ind w:left="4820"/>
        <w:jc w:val="center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>Arijana Andri, mag.</w:t>
      </w:r>
      <w:r>
        <w:rPr>
          <w:rFonts w:ascii="Times New Roman" w:hAnsi="Times New Roman"/>
          <w:b/>
        </w:rPr>
        <w:t xml:space="preserve"> </w:t>
      </w:r>
      <w:r w:rsidRPr="00E55B2F">
        <w:rPr>
          <w:rFonts w:ascii="Times New Roman" w:hAnsi="Times New Roman"/>
          <w:b/>
        </w:rPr>
        <w:t xml:space="preserve">nov. </w:t>
      </w:r>
    </w:p>
    <w:p w14:paraId="5243B764" w14:textId="77777777" w:rsidR="00647CBD" w:rsidRPr="00684B6B" w:rsidRDefault="00647CBD" w:rsidP="00141D7C">
      <w:pPr>
        <w:tabs>
          <w:tab w:val="center" w:pos="6237"/>
        </w:tabs>
        <w:spacing w:line="276" w:lineRule="auto"/>
        <w:ind w:left="4962" w:firstLine="52"/>
        <w:rPr>
          <w:rFonts w:ascii="Times New Roman" w:hAnsi="Times New Roman"/>
          <w:b/>
          <w:szCs w:val="24"/>
          <w:lang w:val="hr-HR"/>
        </w:rPr>
      </w:pPr>
    </w:p>
    <w:p w14:paraId="0ADF46D5" w14:textId="77777777" w:rsidR="00647CBD" w:rsidRPr="009A1EA2" w:rsidRDefault="00647CBD" w:rsidP="00647CBD">
      <w:pPr>
        <w:tabs>
          <w:tab w:val="center" w:pos="7088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</w:p>
    <w:sectPr w:rsidR="00647CBD" w:rsidRPr="009A1EA2" w:rsidSect="00454941">
      <w:headerReference w:type="even" r:id="rId11"/>
      <w:footerReference w:type="default" r:id="rId12"/>
      <w:footerReference w:type="first" r:id="rId13"/>
      <w:pgSz w:w="11907" w:h="16840" w:code="9"/>
      <w:pgMar w:top="993" w:right="1134" w:bottom="142" w:left="1134" w:header="62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1ED53" w14:textId="77777777" w:rsidR="003A4822" w:rsidRDefault="003A4822">
      <w:r>
        <w:separator/>
      </w:r>
    </w:p>
  </w:endnote>
  <w:endnote w:type="continuationSeparator" w:id="0">
    <w:p w14:paraId="6D783377" w14:textId="77777777" w:rsidR="003A4822" w:rsidRDefault="003A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182A3" w14:textId="77777777" w:rsidR="00E40577" w:rsidRDefault="00E40577" w:rsidP="00267D8C">
    <w:pPr>
      <w:pStyle w:val="Podnoje"/>
    </w:pP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17F1FB7" wp14:editId="54F06BA6">
              <wp:simplePos x="0" y="0"/>
              <wp:positionH relativeFrom="column">
                <wp:posOffset>-672465</wp:posOffset>
              </wp:positionH>
              <wp:positionV relativeFrom="paragraph">
                <wp:posOffset>10160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41ED9" w14:textId="77777777" w:rsidR="00E40577" w:rsidRPr="00A65000" w:rsidRDefault="00E40577" w:rsidP="00267D8C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1" w:history="1">
                            <w:r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382030E4" w14:textId="77777777" w:rsidR="00E40577" w:rsidRDefault="00E40577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17F1F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2.95pt;margin-top:.8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fL1XNt4AAAAKAQAADwAAAGRycy9kb3ducmV2LnhtbEyP3U6DQBCF&#10;7018h82YeGPaXUwBQZZGTTTe9ucBBpgCkZ0l7LbQt3d7pZeT8+Wcb4rtYgZxocn1ljVEawWCuLZN&#10;z62G4+Fz9QLCeeQGB8uk4UoOtuX9XYF5Y2fe0WXvWxFK2OWoofN+zKV0dUcG3dqOxCE72cmgD+fU&#10;ymbCOZSbQT4rlUiDPYeFDkf66Kj+2Z+NhtP3/BRnc/Xlj+luk7xjn1b2qvXjw/L2CsLT4v9guOkH&#10;dSiDU2XP3DgxaFhFKs4CG5IExA1QaRaBqDRs4ghkWcj/L5S/AAAA//8DAFBLAQItABQABgAIAAAA&#10;IQC2gziS/gAAAOEBAAATAAAAAAAAAAAAAAAAAAAAAABbQ29udGVudF9UeXBlc10ueG1sUEsBAi0A&#10;FAAGAAgAAAAhADj9If/WAAAAlAEAAAsAAAAAAAAAAAAAAAAALwEAAF9yZWxzLy5yZWxzUEsBAi0A&#10;FAAGAAgAAAAhALpecmweAgAAGwQAAA4AAAAAAAAAAAAAAAAALgIAAGRycy9lMm9Eb2MueG1sUEsB&#10;Ai0AFAAGAAgAAAAhAHy9VzbeAAAACgEAAA8AAAAAAAAAAAAAAAAAeAQAAGRycy9kb3ducmV2Lnht&#10;bFBLBQYAAAAABAAEAPMAAACDBQAAAAA=&#10;" stroked="f">
              <v:textbox>
                <w:txbxContent>
                  <w:p w14:paraId="0B041ED9" w14:textId="77777777" w:rsidR="00E40577" w:rsidRPr="00A65000" w:rsidRDefault="00E40577" w:rsidP="00267D8C">
                    <w:pPr>
                      <w:pStyle w:val="Footer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"http://www.bbz.hr" </w:instrText>
                    </w:r>
                    <w:r>
                      <w:fldChar w:fldCharType="separate"/>
                    </w:r>
                    <w:r w:rsidRPr="00A65000">
                      <w:rPr>
                        <w:rStyle w:val="Hyperlink"/>
                        <w:color w:val="808080" w:themeColor="background1" w:themeShade="80"/>
                        <w:sz w:val="20"/>
                        <w:u w:val="none"/>
                      </w:rPr>
                      <w:t>Bjelovarsko-bilogorska</w:t>
                    </w:r>
                    <w:r>
                      <w:rPr>
                        <w:rStyle w:val="Hyperlink"/>
                        <w:color w:val="808080" w:themeColor="background1" w:themeShade="80"/>
                        <w:sz w:val="20"/>
                        <w:u w:val="none"/>
                      </w:rPr>
                      <w:fldChar w:fldCharType="end"/>
                    </w:r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Ante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Starčevića</w:t>
                    </w:r>
                    <w:proofErr w:type="spellEnd"/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8, Bjelovar</w: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382030E4" w14:textId="77777777" w:rsidR="00E40577" w:rsidRDefault="00E40577" w:rsidP="00267D8C"/>
                </w:txbxContent>
              </v:textbox>
            </v:shape>
          </w:pict>
        </mc:Fallback>
      </mc:AlternateContent>
    </w: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5E93AD" wp14:editId="15541B8F">
              <wp:simplePos x="0" y="0"/>
              <wp:positionH relativeFrom="margin">
                <wp:align>center</wp:align>
              </wp:positionH>
              <wp:positionV relativeFrom="margin">
                <wp:posOffset>9006205</wp:posOffset>
              </wp:positionV>
              <wp:extent cx="575945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014F8DB0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" from="0,709.15pt" to="453.5pt,7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58exVdwAAAAKAQAADwAAAGRy&#10;cy9kb3ducmV2LnhtbEyPwU7DMBBE70j8g7VIXCrqtEAbQpwKVeICh0LhA5x4SSLsdYjd1P17lgOC&#10;474Zzc6Um+SsmHAMvScFi3kGAqnxpqdWwfvb41UOIkRNRltPqOCEATbV+VmpC+OP9IrTPraCQygU&#10;WkEX41BIGZoOnQ5zPyCx9uFHpyOfYyvNqI8c7qxcZtlKOt0Tf+j0gNsOm8/9wSl42r3MTsu0mn2t&#10;b+ttmnKbnoNV6vIiPdyDiJjinxl+6nN1qLhT7Q9kgrAKeEhkerPIr0GwfpetGdW/SFal/D+h+gYA&#10;AP//AwBQSwECLQAUAAYACAAAACEAtoM4kv4AAADhAQAAEwAAAAAAAAAAAAAAAAAAAAAAW0NvbnRl&#10;bnRfVHlwZXNdLnhtbFBLAQItABQABgAIAAAAIQA4/SH/1gAAAJQBAAALAAAAAAAAAAAAAAAAAC8B&#10;AABfcmVscy8ucmVsc1BLAQItABQABgAIAAAAIQAYK/kawQEAAMEDAAAOAAAAAAAAAAAAAAAAAC4C&#10;AABkcnMvZTJvRG9jLnhtbFBLAQItABQABgAIAAAAIQDnx7FV3AAAAAoBAAAPAAAAAAAAAAAAAAAA&#10;ABsEAABkcnMvZG93bnJldi54bWxQSwUGAAAAAAQABADzAAAAJAUAAAAA&#10;" strokecolor="black [3040]">
              <w10:wrap anchorx="margin" anchory="margin"/>
            </v:line>
          </w:pict>
        </mc:Fallback>
      </mc:AlternateContent>
    </w:r>
  </w:p>
  <w:p w14:paraId="607D5CC9" w14:textId="77777777" w:rsidR="00E40577" w:rsidRDefault="00E40577" w:rsidP="00267D8C">
    <w:pPr>
      <w:pStyle w:val="Podnoje"/>
    </w:pPr>
    <w:r>
      <w:rPr>
        <w:noProof/>
        <w:lang w:val="hr-HR"/>
      </w:rPr>
      <w:drawing>
        <wp:anchor distT="0" distB="0" distL="114300" distR="114300" simplePos="0" relativeHeight="251664384" behindDoc="0" locked="0" layoutInCell="1" allowOverlap="1" wp14:anchorId="56B1E9E8" wp14:editId="02674286">
          <wp:simplePos x="0" y="0"/>
          <wp:positionH relativeFrom="margin">
            <wp:posOffset>2537460</wp:posOffset>
          </wp:positionH>
          <wp:positionV relativeFrom="margin">
            <wp:posOffset>9342120</wp:posOffset>
          </wp:positionV>
          <wp:extent cx="1066800" cy="547370"/>
          <wp:effectExtent l="0" t="0" r="0" b="5080"/>
          <wp:wrapNone/>
          <wp:docPr id="9" name="Picture 9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5D865A" w14:textId="77777777" w:rsidR="00E40577" w:rsidRDefault="00E40577" w:rsidP="00267D8C">
    <w:pPr>
      <w:pStyle w:val="Podnoje"/>
    </w:pPr>
    <w:r>
      <w:ptab w:relativeTo="margin" w:alignment="right" w:leader="none"/>
    </w:r>
  </w:p>
  <w:p w14:paraId="52F80F40" w14:textId="77777777" w:rsidR="00E40577" w:rsidRDefault="00E4057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567CE" w14:textId="77777777" w:rsidR="00E40577" w:rsidRDefault="00E40577">
    <w:pPr>
      <w:pStyle w:val="Podnoje"/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6FCEF8" wp14:editId="3263D418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1177841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  <w:lang w:val="hr-HR"/>
      </w:rPr>
      <w:drawing>
        <wp:anchor distT="0" distB="0" distL="114300" distR="114300" simplePos="0" relativeHeight="251659264" behindDoc="0" locked="0" layoutInCell="1" allowOverlap="1" wp14:anchorId="3ACC5896" wp14:editId="4C6F515A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10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590C1E2" wp14:editId="7D6AF348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9440CA" w14:textId="77777777" w:rsidR="00E40577" w:rsidRPr="00A65000" w:rsidRDefault="003A4822" w:rsidP="00A65000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E40577"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E40577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E40577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E40577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67863D6D" w14:textId="77777777" w:rsidR="00E40577" w:rsidRDefault="00E4057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590C1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14:paraId="199440CA" w14:textId="77777777" w:rsidR="00E40577" w:rsidRPr="00A65000" w:rsidRDefault="00CD63A2" w:rsidP="00A65000">
                    <w:pPr>
                      <w:pStyle w:val="Footer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E40577" w:rsidRPr="00A65000">
                        <w:rPr>
                          <w:rStyle w:val="Hyperlink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 xml:space="preserve"> Ante </w:t>
                    </w:r>
                    <w:proofErr w:type="spellStart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>Starčevića</w:t>
                    </w:r>
                    <w:proofErr w:type="spellEnd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 xml:space="preserve"> 8, </w:t>
                    </w:r>
                    <w:proofErr w:type="gramStart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>Bjelovar</w:t>
                    </w:r>
                    <w:r w:rsidR="00E40577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proofErr w:type="gramEnd"/>
                    <w:r w:rsidR="00E40577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67863D6D" w14:textId="77777777" w:rsidR="00E40577" w:rsidRDefault="00E40577"/>
                </w:txbxContent>
              </v:textbox>
              <w10:wrap type="square"/>
            </v:shape>
          </w:pict>
        </mc:Fallback>
      </mc:AlternateContent>
    </w:r>
  </w:p>
  <w:p w14:paraId="391C2746" w14:textId="77777777" w:rsidR="00E40577" w:rsidRDefault="00E40577">
    <w:pPr>
      <w:pStyle w:val="Podnoje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83699" w14:textId="77777777" w:rsidR="003A4822" w:rsidRDefault="003A4822">
      <w:r>
        <w:separator/>
      </w:r>
    </w:p>
  </w:footnote>
  <w:footnote w:type="continuationSeparator" w:id="0">
    <w:p w14:paraId="3C493682" w14:textId="77777777" w:rsidR="003A4822" w:rsidRDefault="003A4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2C06E" w14:textId="77777777" w:rsidR="00E40577" w:rsidRDefault="00E40577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A2D2037" w14:textId="77777777" w:rsidR="00E40577" w:rsidRDefault="00E4057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2" w15:restartNumberingAfterBreak="0">
    <w:nsid w:val="11A21D8F"/>
    <w:multiLevelType w:val="hybridMultilevel"/>
    <w:tmpl w:val="96B2ACCC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6E3043A"/>
    <w:multiLevelType w:val="hybridMultilevel"/>
    <w:tmpl w:val="AC98B6F2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C4BB1"/>
    <w:multiLevelType w:val="hybridMultilevel"/>
    <w:tmpl w:val="BACE160A"/>
    <w:lvl w:ilvl="0" w:tplc="88B286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43DFB"/>
    <w:multiLevelType w:val="hybridMultilevel"/>
    <w:tmpl w:val="14BAAACA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0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1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12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3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4" w15:restartNumberingAfterBreak="0">
    <w:nsid w:val="63FF66C5"/>
    <w:multiLevelType w:val="hybridMultilevel"/>
    <w:tmpl w:val="B96CDF4E"/>
    <w:lvl w:ilvl="0" w:tplc="580E7BA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6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16"/>
  </w:num>
  <w:num w:numId="5">
    <w:abstractNumId w:val="12"/>
  </w:num>
  <w:num w:numId="6">
    <w:abstractNumId w:val="1"/>
  </w:num>
  <w:num w:numId="7">
    <w:abstractNumId w:val="13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8"/>
  </w:num>
  <w:num w:numId="13">
    <w:abstractNumId w:val="3"/>
  </w:num>
  <w:num w:numId="14">
    <w:abstractNumId w:val="4"/>
  </w:num>
  <w:num w:numId="15">
    <w:abstractNumId w:val="19"/>
  </w:num>
  <w:num w:numId="16">
    <w:abstractNumId w:val="6"/>
  </w:num>
  <w:num w:numId="17">
    <w:abstractNumId w:val="2"/>
  </w:num>
  <w:num w:numId="18">
    <w:abstractNumId w:val="14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3FB5"/>
    <w:rsid w:val="00021F24"/>
    <w:rsid w:val="00023F38"/>
    <w:rsid w:val="00037E3E"/>
    <w:rsid w:val="000403B7"/>
    <w:rsid w:val="000509CF"/>
    <w:rsid w:val="00064907"/>
    <w:rsid w:val="00080929"/>
    <w:rsid w:val="000811ED"/>
    <w:rsid w:val="00082634"/>
    <w:rsid w:val="000964C7"/>
    <w:rsid w:val="000B3676"/>
    <w:rsid w:val="000B6710"/>
    <w:rsid w:val="000B711D"/>
    <w:rsid w:val="000C30BD"/>
    <w:rsid w:val="000C5356"/>
    <w:rsid w:val="000D53E2"/>
    <w:rsid w:val="000D6161"/>
    <w:rsid w:val="000E1A23"/>
    <w:rsid w:val="000E2FFA"/>
    <w:rsid w:val="000E61B5"/>
    <w:rsid w:val="000E6F99"/>
    <w:rsid w:val="000F2449"/>
    <w:rsid w:val="00100EAC"/>
    <w:rsid w:val="0010560C"/>
    <w:rsid w:val="00106F1A"/>
    <w:rsid w:val="00110A66"/>
    <w:rsid w:val="001143F3"/>
    <w:rsid w:val="00115DC7"/>
    <w:rsid w:val="0013213A"/>
    <w:rsid w:val="00136EDC"/>
    <w:rsid w:val="00141B66"/>
    <w:rsid w:val="00141D7C"/>
    <w:rsid w:val="00143834"/>
    <w:rsid w:val="00145EF6"/>
    <w:rsid w:val="00155A4A"/>
    <w:rsid w:val="001574B9"/>
    <w:rsid w:val="0016000F"/>
    <w:rsid w:val="001611BB"/>
    <w:rsid w:val="00165D14"/>
    <w:rsid w:val="00172217"/>
    <w:rsid w:val="001723C8"/>
    <w:rsid w:val="00177BFA"/>
    <w:rsid w:val="0018101F"/>
    <w:rsid w:val="001819F2"/>
    <w:rsid w:val="00186584"/>
    <w:rsid w:val="00187789"/>
    <w:rsid w:val="00192C5C"/>
    <w:rsid w:val="00193A0B"/>
    <w:rsid w:val="00193C92"/>
    <w:rsid w:val="00197A3B"/>
    <w:rsid w:val="001A1BFE"/>
    <w:rsid w:val="001A2470"/>
    <w:rsid w:val="001A63B1"/>
    <w:rsid w:val="001A6A66"/>
    <w:rsid w:val="001B183D"/>
    <w:rsid w:val="001B3264"/>
    <w:rsid w:val="001B418B"/>
    <w:rsid w:val="001B42AF"/>
    <w:rsid w:val="001B7194"/>
    <w:rsid w:val="001C0DB9"/>
    <w:rsid w:val="001C1957"/>
    <w:rsid w:val="001C1D9C"/>
    <w:rsid w:val="001C1DE0"/>
    <w:rsid w:val="001D164D"/>
    <w:rsid w:val="001D2CB8"/>
    <w:rsid w:val="001D3281"/>
    <w:rsid w:val="001E068C"/>
    <w:rsid w:val="001E1197"/>
    <w:rsid w:val="001E1AE2"/>
    <w:rsid w:val="001E7F0F"/>
    <w:rsid w:val="001F15EE"/>
    <w:rsid w:val="001F32FC"/>
    <w:rsid w:val="001F39B6"/>
    <w:rsid w:val="001F3C79"/>
    <w:rsid w:val="001F55A1"/>
    <w:rsid w:val="001F7EA9"/>
    <w:rsid w:val="00200030"/>
    <w:rsid w:val="002078D7"/>
    <w:rsid w:val="00215759"/>
    <w:rsid w:val="0022147C"/>
    <w:rsid w:val="00231FC3"/>
    <w:rsid w:val="00232DC1"/>
    <w:rsid w:val="002332C8"/>
    <w:rsid w:val="002442E0"/>
    <w:rsid w:val="00246371"/>
    <w:rsid w:val="00247AD4"/>
    <w:rsid w:val="00250A45"/>
    <w:rsid w:val="0025128A"/>
    <w:rsid w:val="00252FD3"/>
    <w:rsid w:val="002567B4"/>
    <w:rsid w:val="002602D4"/>
    <w:rsid w:val="002628C8"/>
    <w:rsid w:val="00267D8C"/>
    <w:rsid w:val="00274511"/>
    <w:rsid w:val="00275AF1"/>
    <w:rsid w:val="002825B6"/>
    <w:rsid w:val="00283D08"/>
    <w:rsid w:val="0029106D"/>
    <w:rsid w:val="0029276B"/>
    <w:rsid w:val="00294051"/>
    <w:rsid w:val="002953F6"/>
    <w:rsid w:val="002A5C62"/>
    <w:rsid w:val="002B4D14"/>
    <w:rsid w:val="002C1864"/>
    <w:rsid w:val="002C371B"/>
    <w:rsid w:val="002C599D"/>
    <w:rsid w:val="002C6558"/>
    <w:rsid w:val="002D1BE8"/>
    <w:rsid w:val="002E19C9"/>
    <w:rsid w:val="002F0372"/>
    <w:rsid w:val="002F1F8D"/>
    <w:rsid w:val="003004A7"/>
    <w:rsid w:val="00307158"/>
    <w:rsid w:val="003109D0"/>
    <w:rsid w:val="003123A4"/>
    <w:rsid w:val="0031359A"/>
    <w:rsid w:val="00316562"/>
    <w:rsid w:val="0032156B"/>
    <w:rsid w:val="0033337A"/>
    <w:rsid w:val="00333EDD"/>
    <w:rsid w:val="00346943"/>
    <w:rsid w:val="003502EC"/>
    <w:rsid w:val="00351D9D"/>
    <w:rsid w:val="00353D54"/>
    <w:rsid w:val="00354544"/>
    <w:rsid w:val="00360F13"/>
    <w:rsid w:val="0036617F"/>
    <w:rsid w:val="003702BB"/>
    <w:rsid w:val="00377207"/>
    <w:rsid w:val="00380D6E"/>
    <w:rsid w:val="003858BA"/>
    <w:rsid w:val="00392791"/>
    <w:rsid w:val="0039397B"/>
    <w:rsid w:val="00397B23"/>
    <w:rsid w:val="003A4822"/>
    <w:rsid w:val="003A5071"/>
    <w:rsid w:val="003B45F3"/>
    <w:rsid w:val="003C244F"/>
    <w:rsid w:val="003C79B2"/>
    <w:rsid w:val="003D1403"/>
    <w:rsid w:val="003D24DA"/>
    <w:rsid w:val="003D44EF"/>
    <w:rsid w:val="003D7331"/>
    <w:rsid w:val="003E4AE7"/>
    <w:rsid w:val="003F0C81"/>
    <w:rsid w:val="003F2952"/>
    <w:rsid w:val="003F43D9"/>
    <w:rsid w:val="003F44E1"/>
    <w:rsid w:val="003F61D1"/>
    <w:rsid w:val="003F6498"/>
    <w:rsid w:val="00407726"/>
    <w:rsid w:val="0041450F"/>
    <w:rsid w:val="00420092"/>
    <w:rsid w:val="00430152"/>
    <w:rsid w:val="004302DF"/>
    <w:rsid w:val="00430A30"/>
    <w:rsid w:val="00443CD9"/>
    <w:rsid w:val="00454941"/>
    <w:rsid w:val="00456211"/>
    <w:rsid w:val="00460604"/>
    <w:rsid w:val="00462B99"/>
    <w:rsid w:val="004630DD"/>
    <w:rsid w:val="00471F8C"/>
    <w:rsid w:val="004761AE"/>
    <w:rsid w:val="00476754"/>
    <w:rsid w:val="00484026"/>
    <w:rsid w:val="00484A1F"/>
    <w:rsid w:val="00486405"/>
    <w:rsid w:val="0049053C"/>
    <w:rsid w:val="004A0151"/>
    <w:rsid w:val="004A11FD"/>
    <w:rsid w:val="004A1FE6"/>
    <w:rsid w:val="004B06A2"/>
    <w:rsid w:val="004B25C1"/>
    <w:rsid w:val="004B53EE"/>
    <w:rsid w:val="004B5D12"/>
    <w:rsid w:val="004C08CB"/>
    <w:rsid w:val="004C341D"/>
    <w:rsid w:val="004D0668"/>
    <w:rsid w:val="004D1996"/>
    <w:rsid w:val="004E1992"/>
    <w:rsid w:val="004E47F0"/>
    <w:rsid w:val="004E4E17"/>
    <w:rsid w:val="004F1361"/>
    <w:rsid w:val="004F5440"/>
    <w:rsid w:val="005022AC"/>
    <w:rsid w:val="005028E3"/>
    <w:rsid w:val="0050755E"/>
    <w:rsid w:val="00512988"/>
    <w:rsid w:val="00513BA8"/>
    <w:rsid w:val="00517CBE"/>
    <w:rsid w:val="00517D4D"/>
    <w:rsid w:val="005320B1"/>
    <w:rsid w:val="00535FD0"/>
    <w:rsid w:val="0054478D"/>
    <w:rsid w:val="00546396"/>
    <w:rsid w:val="005639A7"/>
    <w:rsid w:val="00577A0D"/>
    <w:rsid w:val="00581FB5"/>
    <w:rsid w:val="00585270"/>
    <w:rsid w:val="0058548A"/>
    <w:rsid w:val="00596962"/>
    <w:rsid w:val="005A085C"/>
    <w:rsid w:val="005A6780"/>
    <w:rsid w:val="005A71FF"/>
    <w:rsid w:val="005B4075"/>
    <w:rsid w:val="005B41EB"/>
    <w:rsid w:val="005B53E7"/>
    <w:rsid w:val="005B6E07"/>
    <w:rsid w:val="005C2D00"/>
    <w:rsid w:val="005C399F"/>
    <w:rsid w:val="005D6939"/>
    <w:rsid w:val="005E12DC"/>
    <w:rsid w:val="005E25E6"/>
    <w:rsid w:val="005E4302"/>
    <w:rsid w:val="005E44B4"/>
    <w:rsid w:val="005E52C0"/>
    <w:rsid w:val="005E58AF"/>
    <w:rsid w:val="005E5AAD"/>
    <w:rsid w:val="005E7640"/>
    <w:rsid w:val="005F12AE"/>
    <w:rsid w:val="005F1E5A"/>
    <w:rsid w:val="00610154"/>
    <w:rsid w:val="00611ACC"/>
    <w:rsid w:val="0061241B"/>
    <w:rsid w:val="0063046B"/>
    <w:rsid w:val="0063590C"/>
    <w:rsid w:val="00636138"/>
    <w:rsid w:val="00636E03"/>
    <w:rsid w:val="00637951"/>
    <w:rsid w:val="00640BB6"/>
    <w:rsid w:val="006448D1"/>
    <w:rsid w:val="00645328"/>
    <w:rsid w:val="00647CBD"/>
    <w:rsid w:val="00653380"/>
    <w:rsid w:val="00660A1A"/>
    <w:rsid w:val="006630B5"/>
    <w:rsid w:val="00674A5F"/>
    <w:rsid w:val="00680B00"/>
    <w:rsid w:val="00682A00"/>
    <w:rsid w:val="00684B6B"/>
    <w:rsid w:val="00691CBB"/>
    <w:rsid w:val="0069483D"/>
    <w:rsid w:val="006A653E"/>
    <w:rsid w:val="006B12F4"/>
    <w:rsid w:val="006B29D5"/>
    <w:rsid w:val="006C08A1"/>
    <w:rsid w:val="006C1799"/>
    <w:rsid w:val="006D2440"/>
    <w:rsid w:val="006E0CD9"/>
    <w:rsid w:val="006E211A"/>
    <w:rsid w:val="006E33DB"/>
    <w:rsid w:val="006F14EC"/>
    <w:rsid w:val="006F5F8D"/>
    <w:rsid w:val="00703117"/>
    <w:rsid w:val="00703D80"/>
    <w:rsid w:val="007062FF"/>
    <w:rsid w:val="007178F3"/>
    <w:rsid w:val="007248F8"/>
    <w:rsid w:val="00727B6B"/>
    <w:rsid w:val="0075102D"/>
    <w:rsid w:val="00764CAD"/>
    <w:rsid w:val="00765B3A"/>
    <w:rsid w:val="00765DB7"/>
    <w:rsid w:val="0077241B"/>
    <w:rsid w:val="00773E3B"/>
    <w:rsid w:val="00774EBA"/>
    <w:rsid w:val="00775F7F"/>
    <w:rsid w:val="00782419"/>
    <w:rsid w:val="00783732"/>
    <w:rsid w:val="00787717"/>
    <w:rsid w:val="00795B79"/>
    <w:rsid w:val="007A08D3"/>
    <w:rsid w:val="007A403B"/>
    <w:rsid w:val="007B2678"/>
    <w:rsid w:val="007B3366"/>
    <w:rsid w:val="007B62CF"/>
    <w:rsid w:val="007B6B7F"/>
    <w:rsid w:val="007B7F6B"/>
    <w:rsid w:val="007C04B3"/>
    <w:rsid w:val="007D367D"/>
    <w:rsid w:val="007D4E7D"/>
    <w:rsid w:val="007E0A80"/>
    <w:rsid w:val="007E102E"/>
    <w:rsid w:val="007E2177"/>
    <w:rsid w:val="007E3AD9"/>
    <w:rsid w:val="007F1D37"/>
    <w:rsid w:val="007F2617"/>
    <w:rsid w:val="007F42BF"/>
    <w:rsid w:val="007F5CB3"/>
    <w:rsid w:val="008074A8"/>
    <w:rsid w:val="00807712"/>
    <w:rsid w:val="00810E6E"/>
    <w:rsid w:val="0081186C"/>
    <w:rsid w:val="00815B14"/>
    <w:rsid w:val="0081741C"/>
    <w:rsid w:val="00822B38"/>
    <w:rsid w:val="00825655"/>
    <w:rsid w:val="008275CB"/>
    <w:rsid w:val="00830FE0"/>
    <w:rsid w:val="008367FD"/>
    <w:rsid w:val="008377DE"/>
    <w:rsid w:val="00841036"/>
    <w:rsid w:val="00842901"/>
    <w:rsid w:val="00842B8B"/>
    <w:rsid w:val="00844FE1"/>
    <w:rsid w:val="00857CBD"/>
    <w:rsid w:val="00860960"/>
    <w:rsid w:val="00861BD8"/>
    <w:rsid w:val="008620E6"/>
    <w:rsid w:val="008633DA"/>
    <w:rsid w:val="008678D1"/>
    <w:rsid w:val="00873028"/>
    <w:rsid w:val="00876789"/>
    <w:rsid w:val="00882BA0"/>
    <w:rsid w:val="00891880"/>
    <w:rsid w:val="008A0189"/>
    <w:rsid w:val="008A14F8"/>
    <w:rsid w:val="008A3D2C"/>
    <w:rsid w:val="008A3D58"/>
    <w:rsid w:val="008A52B4"/>
    <w:rsid w:val="008A5AD1"/>
    <w:rsid w:val="008B2E34"/>
    <w:rsid w:val="008B4881"/>
    <w:rsid w:val="008C24A4"/>
    <w:rsid w:val="008D1072"/>
    <w:rsid w:val="008D115A"/>
    <w:rsid w:val="008D26F7"/>
    <w:rsid w:val="008D28DB"/>
    <w:rsid w:val="008D4299"/>
    <w:rsid w:val="008D6BA6"/>
    <w:rsid w:val="008F222F"/>
    <w:rsid w:val="008F241C"/>
    <w:rsid w:val="008F31E4"/>
    <w:rsid w:val="008F50D6"/>
    <w:rsid w:val="008F77CC"/>
    <w:rsid w:val="00900E6E"/>
    <w:rsid w:val="009019A2"/>
    <w:rsid w:val="00903309"/>
    <w:rsid w:val="0090352F"/>
    <w:rsid w:val="00904EA3"/>
    <w:rsid w:val="00911F5A"/>
    <w:rsid w:val="00913C2C"/>
    <w:rsid w:val="00915739"/>
    <w:rsid w:val="00915DDE"/>
    <w:rsid w:val="00917DA2"/>
    <w:rsid w:val="00923EEC"/>
    <w:rsid w:val="00931DAA"/>
    <w:rsid w:val="00940114"/>
    <w:rsid w:val="00940783"/>
    <w:rsid w:val="00941A99"/>
    <w:rsid w:val="00944E81"/>
    <w:rsid w:val="009508CD"/>
    <w:rsid w:val="00954986"/>
    <w:rsid w:val="009572C2"/>
    <w:rsid w:val="00957BFF"/>
    <w:rsid w:val="00957C6B"/>
    <w:rsid w:val="00961CE8"/>
    <w:rsid w:val="00962E57"/>
    <w:rsid w:val="009657A9"/>
    <w:rsid w:val="00974644"/>
    <w:rsid w:val="00974ED2"/>
    <w:rsid w:val="0097565B"/>
    <w:rsid w:val="00975E05"/>
    <w:rsid w:val="00980A98"/>
    <w:rsid w:val="00982EA5"/>
    <w:rsid w:val="00986100"/>
    <w:rsid w:val="009A113E"/>
    <w:rsid w:val="009A1EA2"/>
    <w:rsid w:val="009A23F9"/>
    <w:rsid w:val="009A7C7E"/>
    <w:rsid w:val="009B2991"/>
    <w:rsid w:val="009B7E0D"/>
    <w:rsid w:val="009C0954"/>
    <w:rsid w:val="009C17DA"/>
    <w:rsid w:val="009C3C63"/>
    <w:rsid w:val="009C57C8"/>
    <w:rsid w:val="009C6936"/>
    <w:rsid w:val="009C7077"/>
    <w:rsid w:val="009C748D"/>
    <w:rsid w:val="009D1DA8"/>
    <w:rsid w:val="009D3220"/>
    <w:rsid w:val="009E3D7A"/>
    <w:rsid w:val="009E4C9F"/>
    <w:rsid w:val="009F451E"/>
    <w:rsid w:val="009F47FB"/>
    <w:rsid w:val="00A021E7"/>
    <w:rsid w:val="00A0377E"/>
    <w:rsid w:val="00A06E4E"/>
    <w:rsid w:val="00A07F12"/>
    <w:rsid w:val="00A17A7A"/>
    <w:rsid w:val="00A237AC"/>
    <w:rsid w:val="00A34E32"/>
    <w:rsid w:val="00A37CE6"/>
    <w:rsid w:val="00A401E2"/>
    <w:rsid w:val="00A43617"/>
    <w:rsid w:val="00A44033"/>
    <w:rsid w:val="00A529B7"/>
    <w:rsid w:val="00A56F56"/>
    <w:rsid w:val="00A57884"/>
    <w:rsid w:val="00A60007"/>
    <w:rsid w:val="00A6026E"/>
    <w:rsid w:val="00A65000"/>
    <w:rsid w:val="00A66C78"/>
    <w:rsid w:val="00A75686"/>
    <w:rsid w:val="00A758A8"/>
    <w:rsid w:val="00A77595"/>
    <w:rsid w:val="00A80017"/>
    <w:rsid w:val="00A813FB"/>
    <w:rsid w:val="00A82969"/>
    <w:rsid w:val="00A82C6B"/>
    <w:rsid w:val="00A83A4C"/>
    <w:rsid w:val="00A85000"/>
    <w:rsid w:val="00A86514"/>
    <w:rsid w:val="00A92F97"/>
    <w:rsid w:val="00AA0985"/>
    <w:rsid w:val="00AA73F5"/>
    <w:rsid w:val="00AE10D1"/>
    <w:rsid w:val="00AE2FA7"/>
    <w:rsid w:val="00AF01FA"/>
    <w:rsid w:val="00AF358B"/>
    <w:rsid w:val="00AF6FB3"/>
    <w:rsid w:val="00AF7E51"/>
    <w:rsid w:val="00B14220"/>
    <w:rsid w:val="00B20825"/>
    <w:rsid w:val="00B22FBB"/>
    <w:rsid w:val="00B324FA"/>
    <w:rsid w:val="00B33A8D"/>
    <w:rsid w:val="00B35BDA"/>
    <w:rsid w:val="00B35E8D"/>
    <w:rsid w:val="00B35ECC"/>
    <w:rsid w:val="00B41FC6"/>
    <w:rsid w:val="00B57610"/>
    <w:rsid w:val="00B60389"/>
    <w:rsid w:val="00B63024"/>
    <w:rsid w:val="00B64F85"/>
    <w:rsid w:val="00B653D2"/>
    <w:rsid w:val="00B71AFC"/>
    <w:rsid w:val="00B7342D"/>
    <w:rsid w:val="00B743A9"/>
    <w:rsid w:val="00B8441F"/>
    <w:rsid w:val="00B85939"/>
    <w:rsid w:val="00B85B81"/>
    <w:rsid w:val="00B928C9"/>
    <w:rsid w:val="00B94A10"/>
    <w:rsid w:val="00B9581D"/>
    <w:rsid w:val="00BA2EEF"/>
    <w:rsid w:val="00BA716A"/>
    <w:rsid w:val="00BB6B72"/>
    <w:rsid w:val="00BB7144"/>
    <w:rsid w:val="00BB7696"/>
    <w:rsid w:val="00BC08E1"/>
    <w:rsid w:val="00BC0FFB"/>
    <w:rsid w:val="00BC30B4"/>
    <w:rsid w:val="00BC6017"/>
    <w:rsid w:val="00BD2838"/>
    <w:rsid w:val="00BD75AC"/>
    <w:rsid w:val="00BE0ED3"/>
    <w:rsid w:val="00BE2A0B"/>
    <w:rsid w:val="00BE42C0"/>
    <w:rsid w:val="00BF1F68"/>
    <w:rsid w:val="00BF6618"/>
    <w:rsid w:val="00C04619"/>
    <w:rsid w:val="00C04B8B"/>
    <w:rsid w:val="00C131CC"/>
    <w:rsid w:val="00C13D98"/>
    <w:rsid w:val="00C2089F"/>
    <w:rsid w:val="00C318A8"/>
    <w:rsid w:val="00C34038"/>
    <w:rsid w:val="00C36A5C"/>
    <w:rsid w:val="00C379F5"/>
    <w:rsid w:val="00C435BA"/>
    <w:rsid w:val="00C44347"/>
    <w:rsid w:val="00C53676"/>
    <w:rsid w:val="00C552B4"/>
    <w:rsid w:val="00C56D1F"/>
    <w:rsid w:val="00C625E9"/>
    <w:rsid w:val="00C67533"/>
    <w:rsid w:val="00C75842"/>
    <w:rsid w:val="00C84516"/>
    <w:rsid w:val="00C85ACB"/>
    <w:rsid w:val="00C93387"/>
    <w:rsid w:val="00CA0C3A"/>
    <w:rsid w:val="00CA0D44"/>
    <w:rsid w:val="00CA2BE9"/>
    <w:rsid w:val="00CA4C46"/>
    <w:rsid w:val="00CB0CC6"/>
    <w:rsid w:val="00CB4535"/>
    <w:rsid w:val="00CB4881"/>
    <w:rsid w:val="00CC296E"/>
    <w:rsid w:val="00CC4840"/>
    <w:rsid w:val="00CD027A"/>
    <w:rsid w:val="00CD63A2"/>
    <w:rsid w:val="00CE3E5D"/>
    <w:rsid w:val="00CE7AA7"/>
    <w:rsid w:val="00CF1556"/>
    <w:rsid w:val="00CF1950"/>
    <w:rsid w:val="00CF1B64"/>
    <w:rsid w:val="00D065AF"/>
    <w:rsid w:val="00D125BC"/>
    <w:rsid w:val="00D1510C"/>
    <w:rsid w:val="00D1519C"/>
    <w:rsid w:val="00D15994"/>
    <w:rsid w:val="00D21E52"/>
    <w:rsid w:val="00D31365"/>
    <w:rsid w:val="00D333BC"/>
    <w:rsid w:val="00D35577"/>
    <w:rsid w:val="00D41AC7"/>
    <w:rsid w:val="00D42C7E"/>
    <w:rsid w:val="00D52836"/>
    <w:rsid w:val="00D56CE6"/>
    <w:rsid w:val="00D84C7D"/>
    <w:rsid w:val="00D86162"/>
    <w:rsid w:val="00D91B16"/>
    <w:rsid w:val="00D91D1B"/>
    <w:rsid w:val="00DA5D62"/>
    <w:rsid w:val="00DB0743"/>
    <w:rsid w:val="00DB37B6"/>
    <w:rsid w:val="00DB4583"/>
    <w:rsid w:val="00DB495D"/>
    <w:rsid w:val="00DB55E3"/>
    <w:rsid w:val="00DB761B"/>
    <w:rsid w:val="00DC1BED"/>
    <w:rsid w:val="00DC270C"/>
    <w:rsid w:val="00DC54C2"/>
    <w:rsid w:val="00DC5805"/>
    <w:rsid w:val="00DC7AAE"/>
    <w:rsid w:val="00DD1C99"/>
    <w:rsid w:val="00DD3A61"/>
    <w:rsid w:val="00DD4B66"/>
    <w:rsid w:val="00DD5E78"/>
    <w:rsid w:val="00DE578E"/>
    <w:rsid w:val="00DE6889"/>
    <w:rsid w:val="00E12F03"/>
    <w:rsid w:val="00E22BF4"/>
    <w:rsid w:val="00E2438D"/>
    <w:rsid w:val="00E3272C"/>
    <w:rsid w:val="00E40577"/>
    <w:rsid w:val="00E44F84"/>
    <w:rsid w:val="00E4717C"/>
    <w:rsid w:val="00E54954"/>
    <w:rsid w:val="00E6021F"/>
    <w:rsid w:val="00E6194A"/>
    <w:rsid w:val="00E7574A"/>
    <w:rsid w:val="00E76A75"/>
    <w:rsid w:val="00E77C51"/>
    <w:rsid w:val="00E80BEA"/>
    <w:rsid w:val="00E84256"/>
    <w:rsid w:val="00E86AB3"/>
    <w:rsid w:val="00E87048"/>
    <w:rsid w:val="00E96B0F"/>
    <w:rsid w:val="00EB1DE3"/>
    <w:rsid w:val="00EB3D9C"/>
    <w:rsid w:val="00EB492E"/>
    <w:rsid w:val="00EB7BB3"/>
    <w:rsid w:val="00ED17BA"/>
    <w:rsid w:val="00ED208C"/>
    <w:rsid w:val="00ED26CB"/>
    <w:rsid w:val="00ED3923"/>
    <w:rsid w:val="00EE04F7"/>
    <w:rsid w:val="00EE1CFC"/>
    <w:rsid w:val="00EF3475"/>
    <w:rsid w:val="00F03A89"/>
    <w:rsid w:val="00F05131"/>
    <w:rsid w:val="00F057AA"/>
    <w:rsid w:val="00F1414B"/>
    <w:rsid w:val="00F226F0"/>
    <w:rsid w:val="00F2524F"/>
    <w:rsid w:val="00F33B3F"/>
    <w:rsid w:val="00F43B9A"/>
    <w:rsid w:val="00F460CB"/>
    <w:rsid w:val="00F50323"/>
    <w:rsid w:val="00F51BDA"/>
    <w:rsid w:val="00F57CC0"/>
    <w:rsid w:val="00F65B80"/>
    <w:rsid w:val="00F71CF8"/>
    <w:rsid w:val="00F84B88"/>
    <w:rsid w:val="00F91D7D"/>
    <w:rsid w:val="00F957B2"/>
    <w:rsid w:val="00FA3787"/>
    <w:rsid w:val="00FA7F31"/>
    <w:rsid w:val="00FB26C1"/>
    <w:rsid w:val="00FB3AE0"/>
    <w:rsid w:val="00FB5F76"/>
    <w:rsid w:val="00FC4CAA"/>
    <w:rsid w:val="00FD4987"/>
    <w:rsid w:val="00FE3062"/>
    <w:rsid w:val="00FE3F70"/>
    <w:rsid w:val="00FE51E3"/>
    <w:rsid w:val="00FF0B6A"/>
    <w:rsid w:val="00FF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9C8FD0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7158"/>
    <w:rPr>
      <w:rFonts w:ascii="CRO_Century_Schoolbk-Normal" w:hAnsi="CRO_Century_Schoolbk-Normal"/>
      <w:sz w:val="24"/>
      <w:lang w:val="en-GB"/>
    </w:rPr>
  </w:style>
  <w:style w:type="paragraph" w:styleId="Naslov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Naslov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3502EC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3502EC"/>
  </w:style>
  <w:style w:type="paragraph" w:styleId="Tijeloteksta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Odlomakpopisa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iperveza">
    <w:name w:val="Hyperlink"/>
    <w:basedOn w:val="Zadanifontodlomka"/>
    <w:uiPriority w:val="99"/>
    <w:unhideWhenUsed/>
    <w:rsid w:val="008F77CC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Reetkatablice">
    <w:name w:val="Table Grid"/>
    <w:basedOn w:val="Obinatablica"/>
    <w:uiPriority w:val="59"/>
    <w:rsid w:val="00647CB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://www.bbz.h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0648-5BA6-4CD4-9E22-7A94802C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3643</Words>
  <Characters>20771</Characters>
  <Application>Microsoft Office Word</Application>
  <DocSecurity>0</DocSecurity>
  <Lines>173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Renata Radoš</cp:lastModifiedBy>
  <cp:revision>2</cp:revision>
  <cp:lastPrinted>2025-04-23T06:23:00Z</cp:lastPrinted>
  <dcterms:created xsi:type="dcterms:W3CDTF">2025-04-28T11:06:00Z</dcterms:created>
  <dcterms:modified xsi:type="dcterms:W3CDTF">2025-04-28T11:06:00Z</dcterms:modified>
</cp:coreProperties>
</file>