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B85C0" w14:textId="77777777" w:rsidR="00512988" w:rsidRDefault="000964C7" w:rsidP="00744349">
      <w:pPr>
        <w:ind w:left="1843"/>
        <w:rPr>
          <w:rFonts w:ascii="Times New Roman" w:eastAsia="MS Reference 2" w:hAnsi="Times New Roman"/>
          <w:noProof/>
        </w:rPr>
      </w:pPr>
      <w:r>
        <w:rPr>
          <w:rFonts w:ascii="Times New Roman" w:eastAsia="MS Reference 2" w:hAnsi="Times New Roman"/>
          <w:noProof/>
        </w:rPr>
        <w:t xml:space="preserve">                     </w:t>
      </w:r>
      <w:r>
        <w:rPr>
          <w:rFonts w:ascii="Times New Roman" w:eastAsia="MS Reference 2" w:hAnsi="Times New Roman"/>
          <w:noProof/>
        </w:rPr>
        <w:drawing>
          <wp:inline distT="0" distB="0" distL="0" distR="0" wp14:anchorId="491CD090" wp14:editId="717A0B43">
            <wp:extent cx="495300" cy="66675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16D11F" w14:textId="77777777" w:rsidR="00744349" w:rsidRDefault="00744349" w:rsidP="00744349">
      <w:pPr>
        <w:ind w:left="1843"/>
        <w:rPr>
          <w:rFonts w:ascii="Times New Roman" w:eastAsia="MS Reference 2" w:hAnsi="Times New Roman"/>
          <w:noProof/>
        </w:rPr>
      </w:pPr>
    </w:p>
    <w:p w14:paraId="1A6158D9" w14:textId="77777777" w:rsidR="000964C7" w:rsidRPr="00CC6D49" w:rsidRDefault="000964C7" w:rsidP="000964C7">
      <w:pPr>
        <w:framePr w:hSpace="181" w:wrap="around" w:vAnchor="text" w:hAnchor="page" w:x="1109" w:y="98"/>
        <w:rPr>
          <w:rFonts w:ascii="Times New Roman" w:eastAsia="MS Reference 2" w:hAnsi="Times New Roman"/>
          <w:noProof/>
          <w:lang w:val="de-DE"/>
        </w:rPr>
      </w:pPr>
      <w:r w:rsidRPr="00CC6D49">
        <w:rPr>
          <w:rFonts w:ascii="Times New Roman" w:eastAsia="MS Reference 2" w:hAnsi="Times New Roman"/>
          <w:noProof/>
        </w:rPr>
        <w:object w:dxaOrig="1380" w:dyaOrig="1620" w14:anchorId="720EF9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pt;height:36pt" o:ole="">
            <v:imagedata r:id="rId9" o:title=""/>
          </v:shape>
          <o:OLEObject Type="Embed" ProgID="PBrush" ShapeID="_x0000_i1025" DrawAspect="Content" ObjectID="_1786965190" r:id="rId10"/>
        </w:object>
      </w:r>
    </w:p>
    <w:p w14:paraId="239A345B" w14:textId="77777777" w:rsidR="000964C7" w:rsidRDefault="000964C7" w:rsidP="00787717">
      <w:pPr>
        <w:tabs>
          <w:tab w:val="left" w:pos="2552"/>
        </w:tabs>
        <w:spacing w:line="276" w:lineRule="auto"/>
        <w:rPr>
          <w:rFonts w:ascii="Times New Roman" w:eastAsia="MS Reference 2" w:hAnsi="Times New Roman"/>
          <w:b/>
          <w:bCs/>
          <w:noProof/>
          <w:lang w:val="de-DE"/>
        </w:rPr>
      </w:pPr>
      <w:r w:rsidRPr="00737D42">
        <w:rPr>
          <w:rFonts w:ascii="Times New Roman" w:eastAsia="MS Reference 2" w:hAnsi="Times New Roman"/>
          <w:noProof/>
        </w:rPr>
        <w:t xml:space="preserve">                   </w:t>
      </w:r>
      <w:r>
        <w:rPr>
          <w:rFonts w:ascii="Times New Roman" w:eastAsia="MS Reference 2" w:hAnsi="Times New Roman"/>
          <w:noProof/>
        </w:rPr>
        <w:t xml:space="preserve">   </w:t>
      </w:r>
      <w:r w:rsidRPr="00737D42">
        <w:t xml:space="preserve"> </w:t>
      </w:r>
      <w:r w:rsidRPr="00737D42">
        <w:rPr>
          <w:rFonts w:ascii="Times New Roman" w:eastAsia="MS Reference 2" w:hAnsi="Times New Roman"/>
          <w:b/>
          <w:bCs/>
          <w:noProof/>
          <w:lang w:val="de-DE"/>
        </w:rPr>
        <w:t>REPUBLIKA HRVATSKA</w:t>
      </w:r>
    </w:p>
    <w:p w14:paraId="6DD75163" w14:textId="77777777" w:rsidR="000964C7" w:rsidRDefault="000964C7" w:rsidP="00787717">
      <w:pPr>
        <w:tabs>
          <w:tab w:val="left" w:pos="2552"/>
        </w:tabs>
        <w:spacing w:line="276" w:lineRule="auto"/>
        <w:rPr>
          <w:rFonts w:ascii="Times New Roman" w:eastAsia="MS Reference 2" w:hAnsi="Times New Roman"/>
          <w:b/>
          <w:bCs/>
          <w:noProof/>
          <w:lang w:val="de-DE"/>
        </w:rPr>
      </w:pPr>
      <w:r w:rsidRPr="00737D42">
        <w:rPr>
          <w:rFonts w:ascii="Times New Roman" w:eastAsia="MS Reference 2" w:hAnsi="Times New Roman"/>
          <w:b/>
          <w:bCs/>
          <w:noProof/>
          <w:lang w:val="de-DE"/>
        </w:rPr>
        <w:t xml:space="preserve">      </w:t>
      </w:r>
      <w:r>
        <w:rPr>
          <w:rFonts w:ascii="Times New Roman" w:eastAsia="MS Reference 2" w:hAnsi="Times New Roman"/>
          <w:b/>
          <w:bCs/>
          <w:noProof/>
          <w:lang w:val="de-DE"/>
        </w:rPr>
        <w:t xml:space="preserve">  </w:t>
      </w:r>
      <w:r w:rsidRPr="00737D42">
        <w:rPr>
          <w:rFonts w:ascii="Times New Roman" w:eastAsia="MS Reference 2" w:hAnsi="Times New Roman"/>
          <w:b/>
          <w:bCs/>
          <w:noProof/>
          <w:lang w:val="de-DE"/>
        </w:rPr>
        <w:t>BJELOVARSKO-BILOGORSKA ŽUPANIJA</w:t>
      </w:r>
    </w:p>
    <w:p w14:paraId="785A23FE" w14:textId="77777777" w:rsidR="000964C7" w:rsidRDefault="00B73B12" w:rsidP="00B73B12">
      <w:pPr>
        <w:tabs>
          <w:tab w:val="center" w:pos="3544"/>
        </w:tabs>
        <w:spacing w:line="276" w:lineRule="auto"/>
        <w:rPr>
          <w:rFonts w:ascii="Times New Roman" w:eastAsia="MS Reference 2" w:hAnsi="Times New Roman"/>
          <w:b/>
          <w:bCs/>
          <w:noProof/>
        </w:rPr>
      </w:pPr>
      <w:r>
        <w:rPr>
          <w:rFonts w:ascii="Times New Roman" w:eastAsia="MS Reference 2" w:hAnsi="Times New Roman"/>
          <w:b/>
          <w:bCs/>
          <w:noProof/>
        </w:rPr>
        <w:t xml:space="preserve">              </w:t>
      </w:r>
      <w:r w:rsidR="000964C7" w:rsidRPr="00CC6D49">
        <w:rPr>
          <w:rFonts w:ascii="Times New Roman" w:eastAsia="MS Reference 2" w:hAnsi="Times New Roman"/>
          <w:b/>
          <w:bCs/>
          <w:noProof/>
        </w:rPr>
        <w:t>UPRAVNI ODJEL ZA</w:t>
      </w:r>
      <w:r>
        <w:rPr>
          <w:rFonts w:ascii="Times New Roman" w:eastAsia="MS Reference 2" w:hAnsi="Times New Roman"/>
          <w:b/>
          <w:bCs/>
          <w:noProof/>
        </w:rPr>
        <w:t xml:space="preserve"> FINANCIJE</w:t>
      </w:r>
    </w:p>
    <w:p w14:paraId="3523D02B" w14:textId="77777777" w:rsidR="00B73B12" w:rsidRDefault="00B73B12" w:rsidP="00787717">
      <w:pPr>
        <w:tabs>
          <w:tab w:val="left" w:pos="2552"/>
        </w:tabs>
        <w:spacing w:line="276" w:lineRule="auto"/>
        <w:rPr>
          <w:rFonts w:ascii="Times New Roman" w:eastAsia="MS Reference 2" w:hAnsi="Times New Roman"/>
          <w:b/>
          <w:bCs/>
          <w:noProof/>
          <w:lang w:val="de-DE"/>
        </w:rPr>
      </w:pPr>
    </w:p>
    <w:p w14:paraId="39F5D611" w14:textId="77777777" w:rsidR="00B73B12" w:rsidRPr="00737D42" w:rsidRDefault="00B73B12" w:rsidP="00787717">
      <w:pPr>
        <w:tabs>
          <w:tab w:val="left" w:pos="2552"/>
        </w:tabs>
        <w:spacing w:line="276" w:lineRule="auto"/>
        <w:rPr>
          <w:rFonts w:ascii="Times New Roman" w:eastAsia="MS Reference 2" w:hAnsi="Times New Roman"/>
          <w:b/>
          <w:bCs/>
          <w:noProof/>
          <w:lang w:val="de-DE"/>
        </w:rPr>
      </w:pPr>
    </w:p>
    <w:p w14:paraId="272218DA" w14:textId="77777777" w:rsidR="00B73B12" w:rsidRDefault="00B73B12" w:rsidP="00B73B12">
      <w:pPr>
        <w:tabs>
          <w:tab w:val="left" w:pos="3828"/>
          <w:tab w:val="center" w:pos="6946"/>
        </w:tabs>
        <w:rPr>
          <w:noProof/>
          <w:lang w:val="de-DE"/>
        </w:rPr>
      </w:pPr>
    </w:p>
    <w:p w14:paraId="62203265" w14:textId="77777777" w:rsidR="00B73B12" w:rsidRPr="00381750" w:rsidRDefault="00B73B12" w:rsidP="00CB61E6">
      <w:pPr>
        <w:tabs>
          <w:tab w:val="left" w:pos="3828"/>
          <w:tab w:val="center" w:pos="6946"/>
        </w:tabs>
        <w:spacing w:line="360" w:lineRule="auto"/>
        <w:jc w:val="center"/>
        <w:rPr>
          <w:b/>
          <w:noProof/>
          <w:color w:val="000000" w:themeColor="text1"/>
          <w:lang w:val="de-DE"/>
        </w:rPr>
      </w:pPr>
      <w:r w:rsidRPr="00381750">
        <w:rPr>
          <w:b/>
          <w:noProof/>
          <w:color w:val="000000" w:themeColor="text1"/>
          <w:lang w:val="de-DE"/>
        </w:rPr>
        <w:t xml:space="preserve">  OBRAZLOŽENJE </w:t>
      </w:r>
      <w:r w:rsidR="00CB61E6" w:rsidRPr="00381750">
        <w:rPr>
          <w:b/>
          <w:noProof/>
          <w:color w:val="000000" w:themeColor="text1"/>
          <w:lang w:val="de-DE"/>
        </w:rPr>
        <w:t>POLUGODIŠNJEG IZVJEŠTAJA O IZVRŠENJU PRORAČUNA BJELOVARSKO-BILOGORSKE ŽUPANIJE ZA 202</w:t>
      </w:r>
      <w:r w:rsidR="00381750" w:rsidRPr="00381750">
        <w:rPr>
          <w:b/>
          <w:noProof/>
          <w:color w:val="000000" w:themeColor="text1"/>
          <w:lang w:val="de-DE"/>
        </w:rPr>
        <w:t>4</w:t>
      </w:r>
      <w:r w:rsidR="00CB61E6" w:rsidRPr="00381750">
        <w:rPr>
          <w:b/>
          <w:noProof/>
          <w:color w:val="000000" w:themeColor="text1"/>
          <w:lang w:val="de-DE"/>
        </w:rPr>
        <w:t>. GODINU</w:t>
      </w:r>
    </w:p>
    <w:p w14:paraId="083A264F" w14:textId="77777777" w:rsidR="00B73B12" w:rsidRPr="00381750" w:rsidRDefault="00B73B12" w:rsidP="00B73B12">
      <w:pPr>
        <w:jc w:val="center"/>
        <w:rPr>
          <w:rFonts w:ascii="Times New Roman" w:hAnsi="Times New Roman"/>
          <w:b/>
          <w:color w:val="000000" w:themeColor="text1"/>
          <w:szCs w:val="24"/>
        </w:rPr>
      </w:pPr>
    </w:p>
    <w:p w14:paraId="39DC6177" w14:textId="77777777" w:rsidR="00381750" w:rsidRPr="00381750" w:rsidRDefault="00B73B12" w:rsidP="00685ADC">
      <w:pPr>
        <w:tabs>
          <w:tab w:val="left" w:pos="851"/>
        </w:tabs>
        <w:spacing w:before="240" w:line="360" w:lineRule="auto"/>
        <w:jc w:val="both"/>
        <w:rPr>
          <w:rFonts w:ascii="Times New Roman" w:hAnsi="Times New Roman"/>
          <w:bCs/>
          <w:noProof/>
          <w:color w:val="000000" w:themeColor="text1"/>
          <w:szCs w:val="24"/>
        </w:rPr>
      </w:pPr>
      <w:r w:rsidRPr="00381750">
        <w:rPr>
          <w:rFonts w:ascii="Times New Roman" w:hAnsi="Times New Roman"/>
          <w:b/>
          <w:color w:val="000000" w:themeColor="text1"/>
          <w:szCs w:val="24"/>
        </w:rPr>
        <w:tab/>
      </w:r>
      <w:r w:rsidR="00381750" w:rsidRPr="00381750">
        <w:rPr>
          <w:rFonts w:ascii="Times New Roman" w:hAnsi="Times New Roman"/>
          <w:bCs/>
          <w:noProof/>
          <w:color w:val="000000" w:themeColor="text1"/>
          <w:szCs w:val="24"/>
        </w:rPr>
        <w:t>Sukladno</w:t>
      </w:r>
      <w:r w:rsidR="00CB61E6" w:rsidRPr="00381750">
        <w:rPr>
          <w:rFonts w:ascii="Times New Roman" w:hAnsi="Times New Roman"/>
          <w:bCs/>
          <w:noProof/>
          <w:color w:val="000000" w:themeColor="text1"/>
          <w:szCs w:val="24"/>
        </w:rPr>
        <w:t xml:space="preserve"> Pravilnik</w:t>
      </w:r>
      <w:r w:rsidR="00381750" w:rsidRPr="00381750">
        <w:rPr>
          <w:rFonts w:ascii="Times New Roman" w:hAnsi="Times New Roman"/>
          <w:bCs/>
          <w:noProof/>
          <w:color w:val="000000" w:themeColor="text1"/>
          <w:szCs w:val="24"/>
        </w:rPr>
        <w:t xml:space="preserve">u </w:t>
      </w:r>
      <w:r w:rsidR="00CB61E6" w:rsidRPr="00381750">
        <w:rPr>
          <w:rFonts w:ascii="Times New Roman" w:hAnsi="Times New Roman"/>
          <w:bCs/>
          <w:noProof/>
          <w:color w:val="000000" w:themeColor="text1"/>
          <w:szCs w:val="24"/>
        </w:rPr>
        <w:t xml:space="preserve"> o polugodišnjem i godišnjem izvještaju o izvršenju proračuna</w:t>
      </w:r>
      <w:r w:rsidR="00667B4A" w:rsidRPr="00381750">
        <w:rPr>
          <w:rFonts w:ascii="Times New Roman" w:hAnsi="Times New Roman"/>
          <w:bCs/>
          <w:noProof/>
          <w:color w:val="000000" w:themeColor="text1"/>
          <w:szCs w:val="24"/>
        </w:rPr>
        <w:t xml:space="preserve"> </w:t>
      </w:r>
      <w:r w:rsidR="00CB61E6" w:rsidRPr="00381750">
        <w:rPr>
          <w:rFonts w:ascii="Times New Roman" w:hAnsi="Times New Roman"/>
          <w:bCs/>
          <w:noProof/>
          <w:color w:val="000000" w:themeColor="text1"/>
          <w:szCs w:val="24"/>
        </w:rPr>
        <w:t>i financijskog plana</w:t>
      </w:r>
      <w:r w:rsidR="00667B4A" w:rsidRPr="00381750">
        <w:rPr>
          <w:rFonts w:ascii="Times New Roman" w:hAnsi="Times New Roman"/>
          <w:bCs/>
          <w:noProof/>
          <w:color w:val="000000" w:themeColor="text1"/>
          <w:szCs w:val="24"/>
        </w:rPr>
        <w:t xml:space="preserve"> („Narodne novine broj 85/2023.)</w:t>
      </w:r>
      <w:r w:rsidR="00CB61E6" w:rsidRPr="00381750">
        <w:rPr>
          <w:rFonts w:ascii="Times New Roman" w:hAnsi="Times New Roman"/>
          <w:bCs/>
          <w:noProof/>
          <w:color w:val="000000" w:themeColor="text1"/>
          <w:szCs w:val="24"/>
        </w:rPr>
        <w:t xml:space="preserve"> </w:t>
      </w:r>
      <w:r w:rsidR="00667B4A" w:rsidRPr="00381750">
        <w:rPr>
          <w:rFonts w:ascii="Times New Roman" w:hAnsi="Times New Roman"/>
          <w:bCs/>
          <w:noProof/>
          <w:color w:val="000000" w:themeColor="text1"/>
          <w:szCs w:val="24"/>
        </w:rPr>
        <w:t>kojim se propisuje izgled, sadržaj, obveznici primjene, način i rokovi podnošenja, donošenja i objave polugodišnjeg i godišnjeg izvještaja o izvršenju proračuna i finacijskog plana</w:t>
      </w:r>
      <w:r w:rsidR="00381750" w:rsidRPr="00381750">
        <w:rPr>
          <w:rFonts w:ascii="Times New Roman" w:hAnsi="Times New Roman"/>
          <w:bCs/>
          <w:noProof/>
          <w:color w:val="000000" w:themeColor="text1"/>
          <w:szCs w:val="24"/>
        </w:rPr>
        <w:t xml:space="preserve"> sastavljen je Polugodišnji izvještaj o izvršenju Proračuna Bjelovarsko-bilogorske županije za 2024. godinu.</w:t>
      </w:r>
    </w:p>
    <w:p w14:paraId="5693F7FB" w14:textId="77777777" w:rsidR="00031305" w:rsidRPr="00381750" w:rsidRDefault="00D34638" w:rsidP="00685ADC">
      <w:pPr>
        <w:tabs>
          <w:tab w:val="left" w:pos="851"/>
        </w:tabs>
        <w:spacing w:before="240" w:line="360" w:lineRule="auto"/>
        <w:jc w:val="both"/>
        <w:rPr>
          <w:rFonts w:ascii="Times New Roman" w:hAnsi="Times New Roman"/>
          <w:color w:val="000000" w:themeColor="text1"/>
          <w:szCs w:val="24"/>
        </w:rPr>
      </w:pPr>
      <w:r w:rsidRPr="00381750">
        <w:rPr>
          <w:rFonts w:ascii="Times New Roman" w:hAnsi="Times New Roman"/>
          <w:color w:val="000000" w:themeColor="text1"/>
          <w:szCs w:val="24"/>
        </w:rPr>
        <w:tab/>
      </w:r>
      <w:r w:rsidR="00031305" w:rsidRPr="00381750">
        <w:rPr>
          <w:rFonts w:ascii="Times New Roman" w:hAnsi="Times New Roman"/>
          <w:color w:val="000000" w:themeColor="text1"/>
          <w:szCs w:val="24"/>
        </w:rPr>
        <w:t>Nakon prijenosa osnivačkih prava četiri osnovne škole</w:t>
      </w:r>
      <w:r w:rsidR="00381750" w:rsidRPr="00381750">
        <w:rPr>
          <w:rFonts w:ascii="Times New Roman" w:hAnsi="Times New Roman"/>
          <w:color w:val="000000" w:themeColor="text1"/>
          <w:szCs w:val="24"/>
        </w:rPr>
        <w:t xml:space="preserve"> </w:t>
      </w:r>
      <w:r w:rsidR="00031305" w:rsidRPr="00381750">
        <w:rPr>
          <w:rFonts w:ascii="Times New Roman" w:hAnsi="Times New Roman"/>
          <w:color w:val="000000" w:themeColor="text1"/>
          <w:szCs w:val="24"/>
        </w:rPr>
        <w:t xml:space="preserve">u nadležnost jedinica lokalne samouprave </w:t>
      </w:r>
      <w:r w:rsidR="00D56F45" w:rsidRPr="00381750">
        <w:rPr>
          <w:rFonts w:ascii="Times New Roman" w:hAnsi="Times New Roman"/>
          <w:color w:val="000000" w:themeColor="text1"/>
          <w:szCs w:val="24"/>
        </w:rPr>
        <w:t xml:space="preserve">i Opće Bolnice Bjelovar </w:t>
      </w:r>
      <w:r w:rsidR="00D56F45">
        <w:rPr>
          <w:rFonts w:ascii="Times New Roman" w:hAnsi="Times New Roman"/>
          <w:color w:val="000000" w:themeColor="text1"/>
          <w:szCs w:val="24"/>
        </w:rPr>
        <w:t xml:space="preserve">u nadležnost Ministarstva zdravstva </w:t>
      </w:r>
      <w:r w:rsidR="00031305" w:rsidRPr="00381750">
        <w:rPr>
          <w:rFonts w:ascii="Times New Roman" w:hAnsi="Times New Roman"/>
          <w:color w:val="000000" w:themeColor="text1"/>
          <w:szCs w:val="24"/>
        </w:rPr>
        <w:t>Županija ima 4</w:t>
      </w:r>
      <w:r w:rsidR="00381750" w:rsidRPr="00381750">
        <w:rPr>
          <w:rFonts w:ascii="Times New Roman" w:hAnsi="Times New Roman"/>
          <w:color w:val="000000" w:themeColor="text1"/>
          <w:szCs w:val="24"/>
        </w:rPr>
        <w:t>2</w:t>
      </w:r>
      <w:r w:rsidR="00031305" w:rsidRPr="00381750">
        <w:rPr>
          <w:rFonts w:ascii="Times New Roman" w:hAnsi="Times New Roman"/>
          <w:color w:val="000000" w:themeColor="text1"/>
          <w:szCs w:val="24"/>
        </w:rPr>
        <w:t xml:space="preserve"> korisnika uvrštenih u Registar proračunskih i izvanproračunskih korisnika čiji su</w:t>
      </w:r>
      <w:r w:rsidR="00DB58FC" w:rsidRPr="00381750">
        <w:rPr>
          <w:rFonts w:ascii="Times New Roman" w:hAnsi="Times New Roman"/>
          <w:color w:val="000000" w:themeColor="text1"/>
          <w:szCs w:val="24"/>
        </w:rPr>
        <w:t xml:space="preserve"> vlastiti i namjenski</w:t>
      </w:r>
      <w:r w:rsidR="00031305" w:rsidRPr="00381750">
        <w:rPr>
          <w:rFonts w:ascii="Times New Roman" w:hAnsi="Times New Roman"/>
          <w:color w:val="000000" w:themeColor="text1"/>
          <w:szCs w:val="24"/>
        </w:rPr>
        <w:t xml:space="preserve"> prihodi i primici te rashodi i izdaci pored </w:t>
      </w:r>
      <w:r w:rsidR="00381750" w:rsidRPr="00381750">
        <w:rPr>
          <w:rFonts w:ascii="Times New Roman" w:hAnsi="Times New Roman"/>
          <w:color w:val="000000" w:themeColor="text1"/>
          <w:szCs w:val="24"/>
        </w:rPr>
        <w:t>onih Županijskih</w:t>
      </w:r>
      <w:r w:rsidR="00031305" w:rsidRPr="00381750">
        <w:rPr>
          <w:rFonts w:ascii="Times New Roman" w:hAnsi="Times New Roman"/>
          <w:color w:val="000000" w:themeColor="text1"/>
          <w:szCs w:val="24"/>
        </w:rPr>
        <w:t xml:space="preserve">  obuhvaćeni u ovom Polugodišnjem izvještaju</w:t>
      </w:r>
      <w:r w:rsidR="00A556A2" w:rsidRPr="00381750">
        <w:rPr>
          <w:rFonts w:ascii="Times New Roman" w:hAnsi="Times New Roman"/>
          <w:color w:val="000000" w:themeColor="text1"/>
          <w:szCs w:val="24"/>
        </w:rPr>
        <w:t>.</w:t>
      </w:r>
    </w:p>
    <w:p w14:paraId="059D4BA7" w14:textId="77777777" w:rsidR="00A556A2" w:rsidRPr="00381750" w:rsidRDefault="00A556A2" w:rsidP="00AA7E38">
      <w:pPr>
        <w:tabs>
          <w:tab w:val="left" w:pos="851"/>
        </w:tabs>
        <w:spacing w:before="240" w:line="360" w:lineRule="auto"/>
        <w:jc w:val="both"/>
        <w:rPr>
          <w:rFonts w:ascii="Times New Roman" w:hAnsi="Times New Roman"/>
          <w:b/>
          <w:color w:val="000000" w:themeColor="text1"/>
          <w:szCs w:val="24"/>
        </w:rPr>
      </w:pPr>
      <w:r w:rsidRPr="00381750">
        <w:rPr>
          <w:rFonts w:ascii="Times New Roman" w:hAnsi="Times New Roman"/>
          <w:color w:val="000000" w:themeColor="text1"/>
          <w:szCs w:val="24"/>
        </w:rPr>
        <w:tab/>
      </w:r>
      <w:r w:rsidR="00381750" w:rsidRPr="00381750">
        <w:rPr>
          <w:rFonts w:ascii="Times New Roman" w:hAnsi="Times New Roman"/>
          <w:color w:val="000000" w:themeColor="text1"/>
          <w:szCs w:val="24"/>
        </w:rPr>
        <w:t>Poštujući odredbe navedenog Pravilnika Polugodišnji izvještaj o izvršenju P</w:t>
      </w:r>
      <w:r w:rsidR="00B14D33" w:rsidRPr="00381750">
        <w:rPr>
          <w:rFonts w:ascii="Times New Roman" w:hAnsi="Times New Roman"/>
          <w:color w:val="000000" w:themeColor="text1"/>
          <w:szCs w:val="24"/>
        </w:rPr>
        <w:t>roračuna</w:t>
      </w:r>
      <w:r w:rsidR="00CA29C7" w:rsidRPr="00381750">
        <w:rPr>
          <w:rFonts w:ascii="Times New Roman" w:hAnsi="Times New Roman"/>
          <w:color w:val="000000" w:themeColor="text1"/>
          <w:szCs w:val="24"/>
        </w:rPr>
        <w:t xml:space="preserve"> Bjelovarsko-bilogorske županije </w:t>
      </w:r>
      <w:r w:rsidR="00381750" w:rsidRPr="00381750">
        <w:rPr>
          <w:rFonts w:ascii="Times New Roman" w:hAnsi="Times New Roman"/>
          <w:color w:val="000000" w:themeColor="text1"/>
          <w:szCs w:val="24"/>
        </w:rPr>
        <w:t xml:space="preserve">za 2024. godinu </w:t>
      </w:r>
      <w:r w:rsidR="00B14D33" w:rsidRPr="00381750">
        <w:rPr>
          <w:rFonts w:ascii="Times New Roman" w:hAnsi="Times New Roman"/>
          <w:color w:val="000000" w:themeColor="text1"/>
          <w:szCs w:val="24"/>
        </w:rPr>
        <w:t xml:space="preserve">sadrži </w:t>
      </w:r>
      <w:r w:rsidR="00B14D33" w:rsidRPr="00381750">
        <w:rPr>
          <w:rFonts w:ascii="Times New Roman" w:hAnsi="Times New Roman"/>
          <w:b/>
          <w:color w:val="000000" w:themeColor="text1"/>
          <w:szCs w:val="24"/>
        </w:rPr>
        <w:t>opći dio, posebni dio, obrazloženje i posebne izvještaje.</w:t>
      </w:r>
    </w:p>
    <w:p w14:paraId="7E6BF59E" w14:textId="77777777" w:rsidR="00B14D33" w:rsidRPr="00381750" w:rsidRDefault="00B14D33" w:rsidP="008B6C71">
      <w:pPr>
        <w:tabs>
          <w:tab w:val="left" w:pos="851"/>
        </w:tabs>
        <w:spacing w:line="360" w:lineRule="auto"/>
        <w:jc w:val="both"/>
        <w:rPr>
          <w:rFonts w:ascii="Times New Roman" w:hAnsi="Times New Roman"/>
          <w:b/>
          <w:szCs w:val="24"/>
        </w:rPr>
      </w:pPr>
    </w:p>
    <w:p w14:paraId="0EBAB832" w14:textId="77777777" w:rsidR="001C3BCB" w:rsidRPr="00381750" w:rsidRDefault="00CF2CFF" w:rsidP="00D12215">
      <w:pPr>
        <w:tabs>
          <w:tab w:val="left" w:pos="1276"/>
        </w:tabs>
        <w:spacing w:line="360" w:lineRule="auto"/>
        <w:jc w:val="both"/>
        <w:rPr>
          <w:rFonts w:ascii="Times New Roman" w:hAnsi="Times New Roman"/>
          <w:b/>
          <w:i/>
          <w:color w:val="000000" w:themeColor="text1"/>
          <w:szCs w:val="24"/>
        </w:rPr>
      </w:pPr>
      <w:r w:rsidRPr="00381750">
        <w:rPr>
          <w:rFonts w:ascii="Times New Roman" w:hAnsi="Times New Roman"/>
          <w:b/>
          <w:color w:val="000000" w:themeColor="text1"/>
          <w:szCs w:val="24"/>
        </w:rPr>
        <w:tab/>
      </w:r>
      <w:r w:rsidR="001C3BCB" w:rsidRPr="00381750">
        <w:rPr>
          <w:rFonts w:ascii="Times New Roman" w:hAnsi="Times New Roman"/>
          <w:b/>
          <w:i/>
          <w:color w:val="000000" w:themeColor="text1"/>
          <w:szCs w:val="24"/>
        </w:rPr>
        <w:t>Opći dio</w:t>
      </w:r>
    </w:p>
    <w:p w14:paraId="2C390B24" w14:textId="77777777" w:rsidR="00D77438" w:rsidRPr="00381750" w:rsidRDefault="00D77438" w:rsidP="00BA0D38">
      <w:pPr>
        <w:tabs>
          <w:tab w:val="left" w:pos="851"/>
        </w:tabs>
        <w:spacing w:line="360" w:lineRule="auto"/>
        <w:jc w:val="both"/>
        <w:rPr>
          <w:rFonts w:ascii="Times New Roman" w:hAnsi="Times New Roman"/>
          <w:b/>
          <w:i/>
          <w:szCs w:val="24"/>
          <w:highlight w:val="yellow"/>
        </w:rPr>
      </w:pPr>
    </w:p>
    <w:p w14:paraId="236D27AA" w14:textId="1C7980D9" w:rsidR="00386AC7" w:rsidRDefault="008D6625" w:rsidP="00A30585">
      <w:pPr>
        <w:shd w:val="clear" w:color="auto" w:fill="FFFFFF" w:themeFill="background1"/>
        <w:tabs>
          <w:tab w:val="left" w:pos="1276"/>
        </w:tabs>
        <w:spacing w:line="360" w:lineRule="auto"/>
        <w:jc w:val="both"/>
        <w:rPr>
          <w:rFonts w:ascii="Times New Roman" w:hAnsi="Times New Roman"/>
          <w:bCs/>
          <w:noProof/>
          <w:szCs w:val="24"/>
        </w:rPr>
      </w:pPr>
      <w:r w:rsidRPr="00716ACA">
        <w:rPr>
          <w:rFonts w:ascii="Times New Roman" w:hAnsi="Times New Roman"/>
          <w:bCs/>
          <w:noProof/>
          <w:szCs w:val="24"/>
        </w:rPr>
        <w:tab/>
        <w:t>Plan prihoda i primitaka</w:t>
      </w:r>
      <w:r w:rsidR="00D77438" w:rsidRPr="00716ACA">
        <w:rPr>
          <w:rFonts w:ascii="Times New Roman" w:hAnsi="Times New Roman"/>
          <w:bCs/>
          <w:noProof/>
          <w:szCs w:val="24"/>
        </w:rPr>
        <w:t xml:space="preserve"> </w:t>
      </w:r>
      <w:r w:rsidRPr="00716ACA">
        <w:rPr>
          <w:rFonts w:ascii="Times New Roman" w:hAnsi="Times New Roman"/>
          <w:bCs/>
          <w:noProof/>
          <w:szCs w:val="24"/>
        </w:rPr>
        <w:t xml:space="preserve">proračuna Bjelovarsko-bilogorske županije </w:t>
      </w:r>
      <w:r w:rsidR="00C90A8F" w:rsidRPr="00716ACA">
        <w:rPr>
          <w:rFonts w:ascii="Times New Roman" w:hAnsi="Times New Roman"/>
          <w:bCs/>
          <w:noProof/>
          <w:szCs w:val="24"/>
        </w:rPr>
        <w:t>za 202</w:t>
      </w:r>
      <w:r w:rsidR="00716ACA">
        <w:rPr>
          <w:rFonts w:ascii="Times New Roman" w:hAnsi="Times New Roman"/>
          <w:bCs/>
          <w:noProof/>
          <w:szCs w:val="24"/>
        </w:rPr>
        <w:t>4</w:t>
      </w:r>
      <w:r w:rsidR="00C90A8F" w:rsidRPr="00716ACA">
        <w:rPr>
          <w:rFonts w:ascii="Times New Roman" w:hAnsi="Times New Roman"/>
          <w:bCs/>
          <w:noProof/>
          <w:szCs w:val="24"/>
        </w:rPr>
        <w:t xml:space="preserve">. godinu </w:t>
      </w:r>
      <w:r w:rsidRPr="0003351F">
        <w:rPr>
          <w:rFonts w:ascii="Times New Roman" w:hAnsi="Times New Roman"/>
          <w:bCs/>
          <w:noProof/>
          <w:szCs w:val="24"/>
        </w:rPr>
        <w:t>iznosi</w:t>
      </w:r>
      <w:r w:rsidR="00534590" w:rsidRPr="0003351F">
        <w:rPr>
          <w:rFonts w:ascii="Times New Roman" w:hAnsi="Times New Roman"/>
          <w:bCs/>
          <w:noProof/>
          <w:szCs w:val="24"/>
        </w:rPr>
        <w:t xml:space="preserve"> </w:t>
      </w:r>
      <w:r w:rsidRPr="0003351F">
        <w:rPr>
          <w:rFonts w:ascii="Times New Roman" w:hAnsi="Times New Roman"/>
          <w:bCs/>
          <w:noProof/>
          <w:szCs w:val="24"/>
        </w:rPr>
        <w:t xml:space="preserve"> </w:t>
      </w:r>
      <w:r w:rsidR="00A908E0">
        <w:rPr>
          <w:rFonts w:ascii="Times New Roman" w:hAnsi="Times New Roman"/>
          <w:bCs/>
          <w:noProof/>
          <w:szCs w:val="24"/>
        </w:rPr>
        <w:t>93.879.983,00</w:t>
      </w:r>
      <w:r w:rsidR="00A950B6" w:rsidRPr="0003351F">
        <w:rPr>
          <w:rFonts w:ascii="Times New Roman" w:hAnsi="Times New Roman"/>
          <w:bCs/>
          <w:noProof/>
          <w:szCs w:val="24"/>
        </w:rPr>
        <w:t xml:space="preserve"> </w:t>
      </w:r>
      <w:r w:rsidR="00BB2864" w:rsidRPr="0003351F">
        <w:rPr>
          <w:rFonts w:ascii="Times New Roman" w:hAnsi="Times New Roman"/>
          <w:bCs/>
          <w:noProof/>
          <w:szCs w:val="24"/>
        </w:rPr>
        <w:t>€</w:t>
      </w:r>
      <w:r w:rsidR="002E562F" w:rsidRPr="0003351F">
        <w:rPr>
          <w:rFonts w:ascii="Times New Roman" w:hAnsi="Times New Roman"/>
          <w:bCs/>
          <w:noProof/>
          <w:szCs w:val="24"/>
        </w:rPr>
        <w:t>.</w:t>
      </w:r>
      <w:r w:rsidR="00BB2864" w:rsidRPr="0003351F">
        <w:rPr>
          <w:rFonts w:ascii="Times New Roman" w:hAnsi="Times New Roman"/>
          <w:bCs/>
          <w:noProof/>
          <w:szCs w:val="24"/>
        </w:rPr>
        <w:t xml:space="preserve"> </w:t>
      </w:r>
      <w:r w:rsidR="00570122">
        <w:rPr>
          <w:rFonts w:ascii="Times New Roman" w:hAnsi="Times New Roman"/>
          <w:bCs/>
          <w:noProof/>
          <w:szCs w:val="24"/>
        </w:rPr>
        <w:t xml:space="preserve"> </w:t>
      </w:r>
      <w:r w:rsidR="00D14BC1">
        <w:rPr>
          <w:rFonts w:ascii="Times New Roman" w:hAnsi="Times New Roman"/>
          <w:bCs/>
          <w:noProof/>
          <w:szCs w:val="24"/>
        </w:rPr>
        <w:t>Uzimajući u obzir odlazak</w:t>
      </w:r>
      <w:r w:rsidR="00570122">
        <w:rPr>
          <w:rFonts w:ascii="Times New Roman" w:hAnsi="Times New Roman"/>
          <w:bCs/>
          <w:noProof/>
          <w:szCs w:val="24"/>
        </w:rPr>
        <w:t xml:space="preserve"> Opće bolnice Dr. A Višić Bjelovar </w:t>
      </w:r>
      <w:r w:rsidR="00D14BC1">
        <w:rPr>
          <w:rFonts w:ascii="Times New Roman" w:hAnsi="Times New Roman"/>
          <w:bCs/>
          <w:noProof/>
          <w:szCs w:val="24"/>
        </w:rPr>
        <w:t xml:space="preserve">u nadležnost države </w:t>
      </w:r>
      <w:r w:rsidR="00F96A21">
        <w:rPr>
          <w:rFonts w:ascii="Times New Roman" w:hAnsi="Times New Roman"/>
          <w:bCs/>
          <w:noProof/>
          <w:szCs w:val="24"/>
        </w:rPr>
        <w:t>čiji je financijski plan</w:t>
      </w:r>
      <w:r w:rsidR="00684889">
        <w:rPr>
          <w:rFonts w:ascii="Times New Roman" w:hAnsi="Times New Roman"/>
          <w:bCs/>
          <w:noProof/>
          <w:szCs w:val="24"/>
        </w:rPr>
        <w:t xml:space="preserve"> ranijih godina </w:t>
      </w:r>
      <w:r w:rsidR="00F96A21">
        <w:rPr>
          <w:rFonts w:ascii="Times New Roman" w:hAnsi="Times New Roman"/>
          <w:bCs/>
          <w:noProof/>
          <w:szCs w:val="24"/>
        </w:rPr>
        <w:t>imao značajan udio Proračunu</w:t>
      </w:r>
      <w:r w:rsidR="00684889">
        <w:rPr>
          <w:rFonts w:ascii="Times New Roman" w:hAnsi="Times New Roman"/>
          <w:bCs/>
          <w:noProof/>
          <w:szCs w:val="24"/>
        </w:rPr>
        <w:t xml:space="preserve"> Županije</w:t>
      </w:r>
      <w:r w:rsidR="00F96A21">
        <w:rPr>
          <w:rFonts w:ascii="Times New Roman" w:hAnsi="Times New Roman"/>
          <w:bCs/>
          <w:noProof/>
          <w:szCs w:val="24"/>
        </w:rPr>
        <w:t>,</w:t>
      </w:r>
      <w:r w:rsidR="00625CA9">
        <w:rPr>
          <w:rFonts w:ascii="Times New Roman" w:hAnsi="Times New Roman"/>
          <w:bCs/>
          <w:noProof/>
          <w:szCs w:val="24"/>
        </w:rPr>
        <w:t xml:space="preserve"> otežan</w:t>
      </w:r>
      <w:r w:rsidR="00F96A21">
        <w:rPr>
          <w:rFonts w:ascii="Times New Roman" w:hAnsi="Times New Roman"/>
          <w:bCs/>
          <w:noProof/>
          <w:szCs w:val="24"/>
        </w:rPr>
        <w:t>a je usporedba ostvarenja podataka tekuće godine u odnosu na isto razdoblje prošle godine.</w:t>
      </w:r>
      <w:r w:rsidR="00570122">
        <w:rPr>
          <w:rFonts w:ascii="Times New Roman" w:hAnsi="Times New Roman"/>
          <w:bCs/>
          <w:noProof/>
          <w:szCs w:val="24"/>
        </w:rPr>
        <w:t xml:space="preserve"> </w:t>
      </w:r>
      <w:r w:rsidR="00F96A21">
        <w:rPr>
          <w:rFonts w:ascii="Times New Roman" w:hAnsi="Times New Roman"/>
          <w:bCs/>
          <w:noProof/>
          <w:szCs w:val="24"/>
        </w:rPr>
        <w:t>P</w:t>
      </w:r>
      <w:r w:rsidRPr="0003351F">
        <w:rPr>
          <w:rFonts w:ascii="Times New Roman" w:hAnsi="Times New Roman"/>
          <w:bCs/>
          <w:noProof/>
          <w:szCs w:val="24"/>
        </w:rPr>
        <w:t>rihodi i primici u razdoblju 01.01.-30.06.202</w:t>
      </w:r>
      <w:r w:rsidR="0003351F" w:rsidRPr="0003351F">
        <w:rPr>
          <w:rFonts w:ascii="Times New Roman" w:hAnsi="Times New Roman"/>
          <w:bCs/>
          <w:noProof/>
          <w:szCs w:val="24"/>
        </w:rPr>
        <w:t>4</w:t>
      </w:r>
      <w:r w:rsidRPr="0003351F">
        <w:rPr>
          <w:rFonts w:ascii="Times New Roman" w:hAnsi="Times New Roman"/>
          <w:bCs/>
          <w:noProof/>
          <w:szCs w:val="24"/>
        </w:rPr>
        <w:t xml:space="preserve">. godine ostvareni su u iznosu </w:t>
      </w:r>
      <w:r w:rsidRPr="0057248F">
        <w:rPr>
          <w:rFonts w:ascii="Times New Roman" w:hAnsi="Times New Roman"/>
          <w:bCs/>
          <w:noProof/>
          <w:szCs w:val="24"/>
        </w:rPr>
        <w:t xml:space="preserve">od </w:t>
      </w:r>
      <w:r w:rsidR="00A30585">
        <w:rPr>
          <w:rFonts w:ascii="Times New Roman" w:hAnsi="Times New Roman"/>
          <w:bCs/>
          <w:noProof/>
          <w:szCs w:val="24"/>
        </w:rPr>
        <w:t>48.940,194,84</w:t>
      </w:r>
      <w:r w:rsidRPr="0057248F">
        <w:rPr>
          <w:rFonts w:ascii="Times New Roman" w:hAnsi="Times New Roman"/>
          <w:bCs/>
          <w:noProof/>
          <w:szCs w:val="24"/>
        </w:rPr>
        <w:t xml:space="preserve"> </w:t>
      </w:r>
      <w:r w:rsidR="00BB2864" w:rsidRPr="0057248F">
        <w:rPr>
          <w:rFonts w:ascii="Times New Roman" w:hAnsi="Times New Roman"/>
          <w:bCs/>
          <w:noProof/>
          <w:szCs w:val="24"/>
        </w:rPr>
        <w:t>€</w:t>
      </w:r>
      <w:r w:rsidRPr="0057248F">
        <w:rPr>
          <w:rFonts w:ascii="Times New Roman" w:hAnsi="Times New Roman"/>
          <w:bCs/>
          <w:noProof/>
          <w:szCs w:val="24"/>
        </w:rPr>
        <w:t xml:space="preserve"> </w:t>
      </w:r>
      <w:r w:rsidR="006615E3" w:rsidRPr="0057248F">
        <w:rPr>
          <w:rFonts w:ascii="Times New Roman" w:hAnsi="Times New Roman"/>
          <w:bCs/>
          <w:noProof/>
          <w:szCs w:val="24"/>
        </w:rPr>
        <w:t xml:space="preserve"> </w:t>
      </w:r>
      <w:r w:rsidRPr="0057248F">
        <w:rPr>
          <w:rFonts w:ascii="Times New Roman" w:hAnsi="Times New Roman"/>
          <w:bCs/>
          <w:noProof/>
          <w:szCs w:val="24"/>
        </w:rPr>
        <w:t xml:space="preserve">što je </w:t>
      </w:r>
      <w:r w:rsidR="00A30585">
        <w:rPr>
          <w:rFonts w:ascii="Times New Roman" w:hAnsi="Times New Roman"/>
          <w:bCs/>
          <w:noProof/>
          <w:szCs w:val="24"/>
        </w:rPr>
        <w:t>15,05</w:t>
      </w:r>
      <w:r w:rsidRPr="0057248F">
        <w:rPr>
          <w:rFonts w:ascii="Times New Roman" w:hAnsi="Times New Roman"/>
          <w:bCs/>
          <w:noProof/>
          <w:szCs w:val="24"/>
        </w:rPr>
        <w:t xml:space="preserve"> %  </w:t>
      </w:r>
      <w:r w:rsidR="00877854">
        <w:rPr>
          <w:rFonts w:ascii="Times New Roman" w:hAnsi="Times New Roman"/>
          <w:bCs/>
          <w:noProof/>
          <w:szCs w:val="24"/>
        </w:rPr>
        <w:t>manje</w:t>
      </w:r>
      <w:r w:rsidR="009E25A2" w:rsidRPr="0057248F">
        <w:rPr>
          <w:rFonts w:ascii="Times New Roman" w:hAnsi="Times New Roman"/>
          <w:bCs/>
          <w:noProof/>
          <w:szCs w:val="24"/>
        </w:rPr>
        <w:t xml:space="preserve"> </w:t>
      </w:r>
      <w:r w:rsidRPr="0057248F">
        <w:rPr>
          <w:rFonts w:ascii="Times New Roman" w:hAnsi="Times New Roman"/>
          <w:bCs/>
          <w:noProof/>
          <w:szCs w:val="24"/>
        </w:rPr>
        <w:t xml:space="preserve">u odnosu na </w:t>
      </w:r>
      <w:r w:rsidR="009E25A2" w:rsidRPr="0057248F">
        <w:rPr>
          <w:rFonts w:ascii="Times New Roman" w:hAnsi="Times New Roman"/>
          <w:bCs/>
          <w:noProof/>
          <w:szCs w:val="24"/>
        </w:rPr>
        <w:t>promatrano razdoblje prethodne godine</w:t>
      </w:r>
      <w:r w:rsidRPr="0057248F">
        <w:rPr>
          <w:rFonts w:ascii="Times New Roman" w:hAnsi="Times New Roman"/>
          <w:bCs/>
          <w:noProof/>
          <w:szCs w:val="24"/>
        </w:rPr>
        <w:t xml:space="preserve">, odnosno </w:t>
      </w:r>
      <w:r w:rsidR="00877854" w:rsidRPr="00877854">
        <w:rPr>
          <w:rFonts w:ascii="Times New Roman" w:hAnsi="Times New Roman"/>
          <w:bCs/>
          <w:noProof/>
          <w:szCs w:val="24"/>
        </w:rPr>
        <w:t>52,13 %</w:t>
      </w:r>
      <w:r w:rsidRPr="00877854">
        <w:rPr>
          <w:rFonts w:ascii="Times New Roman" w:hAnsi="Times New Roman"/>
          <w:bCs/>
          <w:noProof/>
          <w:szCs w:val="24"/>
        </w:rPr>
        <w:t xml:space="preserve"> u odnosu na plan </w:t>
      </w:r>
      <w:r w:rsidRPr="00877854">
        <w:rPr>
          <w:rFonts w:ascii="Times New Roman" w:hAnsi="Times New Roman"/>
          <w:bCs/>
          <w:noProof/>
          <w:szCs w:val="24"/>
        </w:rPr>
        <w:lastRenderedPageBreak/>
        <w:t xml:space="preserve">tekuće godine. </w:t>
      </w:r>
      <w:r w:rsidR="00A903EF" w:rsidRPr="00877854">
        <w:rPr>
          <w:rFonts w:ascii="Times New Roman" w:hAnsi="Times New Roman"/>
          <w:bCs/>
          <w:noProof/>
          <w:szCs w:val="24"/>
        </w:rPr>
        <w:t xml:space="preserve">Ostvarenje rashoda i izdatka od planiranih </w:t>
      </w:r>
      <w:r w:rsidR="00877854" w:rsidRPr="00877854">
        <w:rPr>
          <w:rFonts w:ascii="Times New Roman" w:hAnsi="Times New Roman"/>
          <w:bCs/>
          <w:noProof/>
          <w:szCs w:val="24"/>
        </w:rPr>
        <w:t>96.909.522,00</w:t>
      </w:r>
      <w:r w:rsidR="00A903EF" w:rsidRPr="00877854">
        <w:rPr>
          <w:rFonts w:ascii="Times New Roman" w:hAnsi="Times New Roman"/>
          <w:bCs/>
          <w:noProof/>
          <w:szCs w:val="24"/>
        </w:rPr>
        <w:t xml:space="preserve"> €</w:t>
      </w:r>
      <w:r w:rsidRPr="00877854">
        <w:rPr>
          <w:rFonts w:ascii="Times New Roman" w:hAnsi="Times New Roman"/>
          <w:bCs/>
          <w:noProof/>
          <w:szCs w:val="24"/>
        </w:rPr>
        <w:t xml:space="preserve"> iznos</w:t>
      </w:r>
      <w:r w:rsidR="00877854">
        <w:rPr>
          <w:rFonts w:ascii="Times New Roman" w:hAnsi="Times New Roman"/>
          <w:bCs/>
          <w:noProof/>
          <w:szCs w:val="24"/>
        </w:rPr>
        <w:t>i</w:t>
      </w:r>
      <w:r w:rsidRPr="00877854">
        <w:rPr>
          <w:rFonts w:ascii="Times New Roman" w:hAnsi="Times New Roman"/>
          <w:bCs/>
          <w:noProof/>
          <w:szCs w:val="24"/>
        </w:rPr>
        <w:t xml:space="preserve"> </w:t>
      </w:r>
      <w:r w:rsidR="00877854">
        <w:rPr>
          <w:rFonts w:ascii="Times New Roman" w:hAnsi="Times New Roman"/>
          <w:bCs/>
          <w:noProof/>
          <w:szCs w:val="24"/>
        </w:rPr>
        <w:t>49.799</w:t>
      </w:r>
      <w:r w:rsidR="00570122">
        <w:rPr>
          <w:rFonts w:ascii="Times New Roman" w:hAnsi="Times New Roman"/>
          <w:bCs/>
          <w:noProof/>
          <w:szCs w:val="24"/>
        </w:rPr>
        <w:t>.084,68</w:t>
      </w:r>
      <w:r w:rsidRPr="00877854">
        <w:rPr>
          <w:rFonts w:ascii="Times New Roman" w:hAnsi="Times New Roman"/>
          <w:bCs/>
          <w:noProof/>
          <w:szCs w:val="24"/>
        </w:rPr>
        <w:t xml:space="preserve"> </w:t>
      </w:r>
      <w:r w:rsidR="00BB2864" w:rsidRPr="00570122">
        <w:rPr>
          <w:rFonts w:ascii="Times New Roman" w:hAnsi="Times New Roman"/>
          <w:bCs/>
          <w:noProof/>
          <w:szCs w:val="24"/>
        </w:rPr>
        <w:t>€</w:t>
      </w:r>
      <w:r w:rsidR="00A903EF" w:rsidRPr="00570122">
        <w:rPr>
          <w:rFonts w:ascii="Times New Roman" w:hAnsi="Times New Roman"/>
          <w:bCs/>
          <w:noProof/>
          <w:szCs w:val="24"/>
        </w:rPr>
        <w:t xml:space="preserve"> odnosno </w:t>
      </w:r>
      <w:r w:rsidR="00D14BC1">
        <w:rPr>
          <w:rFonts w:ascii="Times New Roman" w:hAnsi="Times New Roman"/>
          <w:bCs/>
          <w:noProof/>
          <w:szCs w:val="24"/>
        </w:rPr>
        <w:t xml:space="preserve">51,39 </w:t>
      </w:r>
      <w:r w:rsidR="00A903EF" w:rsidRPr="00570122">
        <w:rPr>
          <w:rFonts w:ascii="Times New Roman" w:hAnsi="Times New Roman"/>
          <w:bCs/>
          <w:noProof/>
          <w:szCs w:val="24"/>
        </w:rPr>
        <w:t>%.</w:t>
      </w:r>
      <w:r w:rsidRPr="00570122">
        <w:rPr>
          <w:rFonts w:ascii="Times New Roman" w:hAnsi="Times New Roman"/>
          <w:bCs/>
          <w:noProof/>
          <w:szCs w:val="24"/>
        </w:rPr>
        <w:t xml:space="preserve"> Manjak prihoda i primitaka </w:t>
      </w:r>
      <w:r w:rsidR="006C4283">
        <w:rPr>
          <w:rFonts w:ascii="Times New Roman" w:hAnsi="Times New Roman"/>
          <w:bCs/>
          <w:noProof/>
          <w:szCs w:val="24"/>
        </w:rPr>
        <w:t>i</w:t>
      </w:r>
      <w:r w:rsidRPr="00570122">
        <w:rPr>
          <w:rFonts w:ascii="Times New Roman" w:hAnsi="Times New Roman"/>
          <w:bCs/>
          <w:noProof/>
          <w:szCs w:val="24"/>
        </w:rPr>
        <w:t xml:space="preserve"> rashoda i izdataka </w:t>
      </w:r>
      <w:r w:rsidR="00796E2C" w:rsidRPr="00570122">
        <w:rPr>
          <w:rFonts w:ascii="Times New Roman" w:hAnsi="Times New Roman"/>
          <w:bCs/>
          <w:noProof/>
          <w:szCs w:val="24"/>
        </w:rPr>
        <w:t>izvještajnog razdoblja</w:t>
      </w:r>
      <w:r w:rsidR="00773816" w:rsidRPr="00570122">
        <w:rPr>
          <w:rFonts w:ascii="Times New Roman" w:hAnsi="Times New Roman"/>
          <w:bCs/>
          <w:noProof/>
          <w:szCs w:val="24"/>
        </w:rPr>
        <w:t xml:space="preserve"> iznosi </w:t>
      </w:r>
      <w:r w:rsidR="00796E2C" w:rsidRPr="00570122">
        <w:rPr>
          <w:rFonts w:ascii="Times New Roman" w:hAnsi="Times New Roman"/>
          <w:bCs/>
          <w:noProof/>
          <w:szCs w:val="24"/>
        </w:rPr>
        <w:t xml:space="preserve"> </w:t>
      </w:r>
      <w:r w:rsidR="00570122" w:rsidRPr="00570122">
        <w:rPr>
          <w:rFonts w:ascii="Times New Roman" w:hAnsi="Times New Roman"/>
          <w:bCs/>
          <w:noProof/>
          <w:szCs w:val="24"/>
        </w:rPr>
        <w:t>858.739,84</w:t>
      </w:r>
      <w:r w:rsidR="00BB2864" w:rsidRPr="00570122">
        <w:rPr>
          <w:rFonts w:ascii="Times New Roman" w:hAnsi="Times New Roman"/>
          <w:bCs/>
          <w:noProof/>
          <w:szCs w:val="24"/>
        </w:rPr>
        <w:t xml:space="preserve"> €</w:t>
      </w:r>
      <w:r w:rsidR="001F6933" w:rsidRPr="00570122">
        <w:rPr>
          <w:rFonts w:ascii="Times New Roman" w:hAnsi="Times New Roman"/>
          <w:bCs/>
          <w:noProof/>
          <w:szCs w:val="24"/>
        </w:rPr>
        <w:t>.</w:t>
      </w:r>
      <w:r w:rsidR="00D45CDC" w:rsidRPr="00570122">
        <w:rPr>
          <w:rFonts w:ascii="Times New Roman" w:hAnsi="Times New Roman"/>
          <w:bCs/>
          <w:noProof/>
          <w:szCs w:val="24"/>
        </w:rPr>
        <w:t xml:space="preserve"> </w:t>
      </w:r>
      <w:r w:rsidR="00D45CDC" w:rsidRPr="00A30585">
        <w:rPr>
          <w:rFonts w:ascii="Times New Roman" w:hAnsi="Times New Roman"/>
          <w:bCs/>
          <w:noProof/>
          <w:szCs w:val="24"/>
        </w:rPr>
        <w:t xml:space="preserve">S prenesenim </w:t>
      </w:r>
      <w:r w:rsidR="00272FE0">
        <w:rPr>
          <w:rFonts w:ascii="Times New Roman" w:hAnsi="Times New Roman"/>
          <w:bCs/>
          <w:noProof/>
          <w:szCs w:val="24"/>
        </w:rPr>
        <w:t>viškom</w:t>
      </w:r>
      <w:r w:rsidR="00D45CDC" w:rsidRPr="00A30585">
        <w:rPr>
          <w:rFonts w:ascii="Times New Roman" w:hAnsi="Times New Roman"/>
          <w:bCs/>
          <w:noProof/>
          <w:szCs w:val="24"/>
        </w:rPr>
        <w:t xml:space="preserve"> iz prethodnog razdoblja utvrđenim u financijskim izvještajima proračuna i proračunskih korisnika u iznosu od </w:t>
      </w:r>
      <w:r w:rsidR="00B9561C" w:rsidRPr="00A30585">
        <w:rPr>
          <w:rFonts w:ascii="Times New Roman" w:hAnsi="Times New Roman"/>
          <w:bCs/>
          <w:noProof/>
          <w:szCs w:val="24"/>
        </w:rPr>
        <w:t>602.546,90</w:t>
      </w:r>
      <w:r w:rsidR="00D45CDC" w:rsidRPr="00A30585">
        <w:rPr>
          <w:rFonts w:ascii="Times New Roman" w:hAnsi="Times New Roman"/>
          <w:bCs/>
          <w:noProof/>
          <w:szCs w:val="24"/>
        </w:rPr>
        <w:t xml:space="preserve"> € manjak za pokrivanje u budućem razdoblju iznosi</w:t>
      </w:r>
      <w:r w:rsidR="00165D07">
        <w:rPr>
          <w:rFonts w:ascii="Times New Roman" w:hAnsi="Times New Roman"/>
          <w:bCs/>
          <w:noProof/>
          <w:szCs w:val="24"/>
        </w:rPr>
        <w:t xml:space="preserve"> </w:t>
      </w:r>
      <w:r w:rsidR="00A30585">
        <w:rPr>
          <w:rFonts w:ascii="Times New Roman" w:hAnsi="Times New Roman"/>
          <w:bCs/>
          <w:noProof/>
          <w:szCs w:val="24"/>
        </w:rPr>
        <w:t>256.192,92</w:t>
      </w:r>
      <w:r w:rsidR="00D45CDC" w:rsidRPr="00A30585">
        <w:rPr>
          <w:rFonts w:ascii="Times New Roman" w:hAnsi="Times New Roman"/>
          <w:bCs/>
          <w:noProof/>
          <w:szCs w:val="24"/>
        </w:rPr>
        <w:t xml:space="preserve"> €.</w:t>
      </w:r>
      <w:r w:rsidR="00A903EF" w:rsidRPr="00A30585">
        <w:rPr>
          <w:rFonts w:ascii="Times New Roman" w:hAnsi="Times New Roman"/>
          <w:bCs/>
          <w:noProof/>
          <w:szCs w:val="24"/>
        </w:rPr>
        <w:t xml:space="preserve"> </w:t>
      </w:r>
    </w:p>
    <w:p w14:paraId="7C50B72E" w14:textId="3F906250" w:rsidR="002A4D3E" w:rsidRDefault="002A4D3E" w:rsidP="00A30585">
      <w:pPr>
        <w:shd w:val="clear" w:color="auto" w:fill="FFFFFF" w:themeFill="background1"/>
        <w:tabs>
          <w:tab w:val="left" w:pos="1276"/>
        </w:tabs>
        <w:spacing w:line="360" w:lineRule="auto"/>
        <w:jc w:val="both"/>
        <w:rPr>
          <w:rFonts w:ascii="Times New Roman" w:hAnsi="Times New Roman"/>
          <w:bCs/>
          <w:noProof/>
          <w:szCs w:val="24"/>
        </w:rPr>
      </w:pPr>
    </w:p>
    <w:p w14:paraId="3C9C5B8D" w14:textId="2F24E2AB" w:rsidR="002A4D3E" w:rsidRPr="004E7348" w:rsidRDefault="004E7348" w:rsidP="004E7348">
      <w:pPr>
        <w:tabs>
          <w:tab w:val="center" w:pos="6663"/>
        </w:tabs>
        <w:jc w:val="both"/>
        <w:rPr>
          <w:rFonts w:ascii="Times New Roman" w:hAnsi="Times New Roman"/>
          <w:bCs/>
          <w:noProof/>
          <w:sz w:val="20"/>
        </w:rPr>
      </w:pPr>
      <w:r w:rsidRPr="004E7348">
        <w:rPr>
          <w:rFonts w:ascii="Times New Roman" w:hAnsi="Times New Roman"/>
          <w:bCs/>
          <w:noProof/>
          <w:sz w:val="20"/>
        </w:rPr>
        <w:t>Prikaz manjka Bjelovarsko-bilogorske županije</w:t>
      </w:r>
    </w:p>
    <w:tbl>
      <w:tblPr>
        <w:tblW w:w="9354" w:type="dxa"/>
        <w:tblLook w:val="04A0" w:firstRow="1" w:lastRow="0" w:firstColumn="1" w:lastColumn="0" w:noHBand="0" w:noVBand="1"/>
      </w:tblPr>
      <w:tblGrid>
        <w:gridCol w:w="3206"/>
        <w:gridCol w:w="1496"/>
        <w:gridCol w:w="1660"/>
        <w:gridCol w:w="1496"/>
        <w:gridCol w:w="1496"/>
      </w:tblGrid>
      <w:tr w:rsidR="002A4D3E" w:rsidRPr="00381750" w14:paraId="098162BB" w14:textId="77777777" w:rsidTr="004C20A8">
        <w:trPr>
          <w:trHeight w:val="180"/>
        </w:trPr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0FEBF" w14:textId="6ECBE085" w:rsidR="002A4D3E" w:rsidRPr="006E3209" w:rsidRDefault="002A4D3E" w:rsidP="00984107">
            <w:pP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9CD03" w14:textId="06B1D1D7" w:rsidR="002A4D3E" w:rsidRPr="009354D1" w:rsidRDefault="002A4D3E" w:rsidP="00984107">
            <w:pPr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ACDF3" w14:textId="7826E1D0" w:rsidR="002A4D3E" w:rsidRPr="009354D1" w:rsidRDefault="002A4D3E" w:rsidP="00984107">
            <w:pPr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B9F71" w14:textId="71161B6C" w:rsidR="002A4D3E" w:rsidRPr="009354D1" w:rsidRDefault="002A4D3E" w:rsidP="00984107">
            <w:pPr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D0ACC9" w14:textId="1B9653B6" w:rsidR="002A4D3E" w:rsidRPr="009354D1" w:rsidRDefault="002A4D3E" w:rsidP="00984107">
            <w:pPr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4C20A8" w:rsidRPr="00381750" w14:paraId="5D68C233" w14:textId="77777777" w:rsidTr="00984107">
        <w:trPr>
          <w:trHeight w:val="180"/>
        </w:trPr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F5759" w14:textId="1FF48300" w:rsidR="004C20A8" w:rsidRPr="006E3209" w:rsidRDefault="004C20A8" w:rsidP="004C20A8">
            <w:pP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E320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UKUPNO PRIHODI I PRIMICI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6E000" w14:textId="02526887" w:rsidR="004C20A8" w:rsidRPr="00A27894" w:rsidRDefault="004C20A8" w:rsidP="004C20A8">
            <w:pPr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A2789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93.879.983,00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C44B5" w14:textId="2E80A822" w:rsidR="004C20A8" w:rsidRPr="00A27894" w:rsidRDefault="004C20A8" w:rsidP="004C20A8">
            <w:pPr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A2789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93.879.983,00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48C07" w14:textId="18BEF6D3" w:rsidR="004C20A8" w:rsidRPr="00A27894" w:rsidRDefault="004C20A8" w:rsidP="004C20A8">
            <w:pPr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A2789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48.940.344,84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4CABD5" w14:textId="710FB84B" w:rsidR="004C20A8" w:rsidRPr="009354D1" w:rsidRDefault="004C20A8" w:rsidP="004C20A8">
            <w:pPr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9354D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52,13</w:t>
            </w:r>
          </w:p>
        </w:tc>
      </w:tr>
      <w:tr w:rsidR="004C20A8" w:rsidRPr="009354D1" w14:paraId="75188C59" w14:textId="77777777" w:rsidTr="00984107">
        <w:trPr>
          <w:trHeight w:val="265"/>
        </w:trPr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54CE4" w14:textId="77777777" w:rsidR="004C20A8" w:rsidRPr="006E3209" w:rsidRDefault="004C20A8" w:rsidP="004C20A8">
            <w:pP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E320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UKUPNO RASHODI I IZDACI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3A012" w14:textId="77777777" w:rsidR="004C20A8" w:rsidRPr="009354D1" w:rsidRDefault="004C20A8" w:rsidP="004C20A8">
            <w:pPr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A2789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96.909.522,00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092D4" w14:textId="77777777" w:rsidR="004C20A8" w:rsidRPr="009354D1" w:rsidRDefault="004C20A8" w:rsidP="004C20A8">
            <w:pPr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A2789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96.909.522,00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DA302" w14:textId="77777777" w:rsidR="004C20A8" w:rsidRPr="009354D1" w:rsidRDefault="004C20A8" w:rsidP="004C20A8">
            <w:pPr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A2789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49.799.084,68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E37552" w14:textId="77777777" w:rsidR="004C20A8" w:rsidRPr="009354D1" w:rsidRDefault="004C20A8" w:rsidP="004C20A8">
            <w:pPr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A2789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51,39</w:t>
            </w:r>
          </w:p>
        </w:tc>
      </w:tr>
      <w:tr w:rsidR="004C20A8" w:rsidRPr="00381750" w14:paraId="3BA44889" w14:textId="77777777" w:rsidTr="00984107">
        <w:trPr>
          <w:trHeight w:val="127"/>
        </w:trPr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D3010" w14:textId="77777777" w:rsidR="004C20A8" w:rsidRPr="006E3209" w:rsidRDefault="004C20A8" w:rsidP="004C20A8">
            <w:pP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E320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RAZLIKA VIŠAK/MANJAK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9A7DB" w14:textId="77777777" w:rsidR="004C20A8" w:rsidRPr="009354D1" w:rsidRDefault="004C20A8" w:rsidP="004C20A8">
            <w:pPr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A2789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-3</w:t>
            </w:r>
            <w:r w:rsidRPr="00A2789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.029.539,00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978C9" w14:textId="77777777" w:rsidR="004C20A8" w:rsidRPr="009354D1" w:rsidRDefault="004C20A8" w:rsidP="004C20A8">
            <w:pPr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A2789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3.029.539,00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BBD5E" w14:textId="77777777" w:rsidR="004C20A8" w:rsidRPr="009354D1" w:rsidRDefault="004C20A8" w:rsidP="004C20A8">
            <w:pPr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A2789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-858.739,84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AC8CDA" w14:textId="77777777" w:rsidR="004C20A8" w:rsidRPr="009354D1" w:rsidRDefault="004C20A8" w:rsidP="004C20A8">
            <w:pPr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9354D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28,35</w:t>
            </w:r>
          </w:p>
        </w:tc>
      </w:tr>
    </w:tbl>
    <w:p w14:paraId="2118619E" w14:textId="77777777" w:rsidR="002A4D3E" w:rsidRPr="00A30585" w:rsidRDefault="002A4D3E" w:rsidP="00A30585">
      <w:pPr>
        <w:shd w:val="clear" w:color="auto" w:fill="FFFFFF" w:themeFill="background1"/>
        <w:tabs>
          <w:tab w:val="left" w:pos="1276"/>
        </w:tabs>
        <w:spacing w:line="360" w:lineRule="auto"/>
        <w:jc w:val="both"/>
        <w:rPr>
          <w:rFonts w:ascii="Times New Roman" w:hAnsi="Times New Roman"/>
          <w:bCs/>
          <w:noProof/>
          <w:szCs w:val="24"/>
        </w:rPr>
      </w:pPr>
    </w:p>
    <w:p w14:paraId="2D977874" w14:textId="77777777" w:rsidR="00D45CDC" w:rsidRPr="00381750" w:rsidRDefault="00D45CDC" w:rsidP="00A30585">
      <w:pPr>
        <w:shd w:val="clear" w:color="auto" w:fill="FFFFFF" w:themeFill="background1"/>
        <w:tabs>
          <w:tab w:val="left" w:pos="851"/>
          <w:tab w:val="left" w:pos="1134"/>
        </w:tabs>
        <w:spacing w:line="360" w:lineRule="auto"/>
        <w:jc w:val="both"/>
        <w:rPr>
          <w:rFonts w:ascii="Times New Roman" w:hAnsi="Times New Roman"/>
          <w:bCs/>
          <w:noProof/>
          <w:szCs w:val="24"/>
          <w:highlight w:val="yellow"/>
        </w:rPr>
      </w:pPr>
    </w:p>
    <w:p w14:paraId="26F4CFDC" w14:textId="58474028" w:rsidR="00B14D33" w:rsidRDefault="008A00E8" w:rsidP="00E13D06">
      <w:pPr>
        <w:spacing w:line="360" w:lineRule="auto"/>
        <w:jc w:val="both"/>
        <w:rPr>
          <w:rFonts w:ascii="Times New Roman" w:hAnsi="Times New Roman"/>
          <w:szCs w:val="24"/>
        </w:rPr>
      </w:pPr>
      <w:r w:rsidRPr="006A7600">
        <w:rPr>
          <w:rFonts w:ascii="Times New Roman" w:hAnsi="Times New Roman"/>
          <w:b/>
          <w:sz w:val="22"/>
          <w:szCs w:val="22"/>
        </w:rPr>
        <w:t xml:space="preserve">IZVJEŠTAJ O PRIHODIMA I RASHODIMA PREMA EKONOMSKOJ KLASIFIKACIJI </w:t>
      </w:r>
      <w:r w:rsidR="001C3BCB" w:rsidRPr="006A7600">
        <w:rPr>
          <w:rFonts w:ascii="Times New Roman" w:hAnsi="Times New Roman"/>
          <w:szCs w:val="24"/>
        </w:rPr>
        <w:t>sadrži</w:t>
      </w:r>
      <w:r w:rsidR="001C3BCB" w:rsidRPr="006A7600">
        <w:rPr>
          <w:rFonts w:ascii="Times New Roman" w:hAnsi="Times New Roman"/>
          <w:b/>
          <w:szCs w:val="24"/>
        </w:rPr>
        <w:t xml:space="preserve"> </w:t>
      </w:r>
      <w:r w:rsidR="001C3BCB" w:rsidRPr="006A7600">
        <w:rPr>
          <w:rFonts w:ascii="Times New Roman" w:hAnsi="Times New Roman"/>
          <w:szCs w:val="24"/>
        </w:rPr>
        <w:t xml:space="preserve">prikaz prihoda i rashoda prema ekonomskoj </w:t>
      </w:r>
      <w:r w:rsidR="00A212EE" w:rsidRPr="006A7600">
        <w:rPr>
          <w:rFonts w:ascii="Times New Roman" w:hAnsi="Times New Roman"/>
          <w:szCs w:val="24"/>
        </w:rPr>
        <w:t>klasifikaciji za izvještajno razdoblje prethodne, plan za proračunsku godinu</w:t>
      </w:r>
      <w:r w:rsidR="00BC5006">
        <w:rPr>
          <w:rFonts w:ascii="Times New Roman" w:hAnsi="Times New Roman"/>
          <w:szCs w:val="24"/>
        </w:rPr>
        <w:t xml:space="preserve"> i</w:t>
      </w:r>
      <w:r w:rsidR="00A212EE" w:rsidRPr="006A7600">
        <w:rPr>
          <w:rFonts w:ascii="Times New Roman" w:hAnsi="Times New Roman"/>
          <w:szCs w:val="24"/>
        </w:rPr>
        <w:t xml:space="preserve"> izvršenje za izvještajno razdoblje tekuće godi</w:t>
      </w:r>
      <w:r w:rsidR="00E13D06">
        <w:rPr>
          <w:rFonts w:ascii="Times New Roman" w:hAnsi="Times New Roman"/>
          <w:szCs w:val="24"/>
        </w:rPr>
        <w:t>ne.</w:t>
      </w:r>
    </w:p>
    <w:p w14:paraId="16D4D381" w14:textId="77777777" w:rsidR="00EE5F42" w:rsidRDefault="00C43776" w:rsidP="003C4639">
      <w:pPr>
        <w:tabs>
          <w:tab w:val="left" w:pos="1276"/>
        </w:tabs>
        <w:spacing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</w:p>
    <w:p w14:paraId="0AB38BF7" w14:textId="04811F39" w:rsidR="00F960B3" w:rsidRDefault="00F960B3" w:rsidP="003C4639">
      <w:pPr>
        <w:tabs>
          <w:tab w:val="left" w:pos="1276"/>
        </w:tabs>
        <w:spacing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98239A">
        <w:rPr>
          <w:rFonts w:ascii="Times New Roman" w:hAnsi="Times New Roman"/>
          <w:b/>
          <w:i/>
          <w:szCs w:val="24"/>
        </w:rPr>
        <w:t>Prihodi poslovanja</w:t>
      </w:r>
      <w:r>
        <w:rPr>
          <w:rFonts w:ascii="Times New Roman" w:hAnsi="Times New Roman"/>
          <w:szCs w:val="24"/>
        </w:rPr>
        <w:t xml:space="preserve"> u razdoblju 01.01.-30.06.2024. godine ostvareni su u iznosu 48.288.</w:t>
      </w:r>
      <w:r w:rsidR="00BC5006">
        <w:rPr>
          <w:rFonts w:ascii="Times New Roman" w:hAnsi="Times New Roman"/>
          <w:szCs w:val="24"/>
        </w:rPr>
        <w:t>603</w:t>
      </w:r>
      <w:r>
        <w:rPr>
          <w:rFonts w:ascii="Times New Roman" w:hAnsi="Times New Roman"/>
          <w:szCs w:val="24"/>
        </w:rPr>
        <w:t xml:space="preserve">,68 €, što je 14,14% manje od u odnosu na ostvarenje istog razdoblja prošle godine, a </w:t>
      </w:r>
      <w:r w:rsidR="003E0A17">
        <w:rPr>
          <w:rFonts w:ascii="Times New Roman" w:hAnsi="Times New Roman"/>
          <w:szCs w:val="24"/>
        </w:rPr>
        <w:t xml:space="preserve">52,54 </w:t>
      </w:r>
      <w:r>
        <w:rPr>
          <w:rFonts w:ascii="Times New Roman" w:hAnsi="Times New Roman"/>
          <w:szCs w:val="24"/>
        </w:rPr>
        <w:t>% u odnosu na plan. Isti obuhvaćaju prihode od poreza, pomoći iz inozemstva i od subjekata unutar općeg proračuna, prihode od imovine, prihode od upravnih i administrativnih pristojbi</w:t>
      </w:r>
      <w:r w:rsidR="003C4639">
        <w:rPr>
          <w:rFonts w:ascii="Times New Roman" w:hAnsi="Times New Roman"/>
          <w:szCs w:val="24"/>
        </w:rPr>
        <w:t>, pristojbe po posebnim propisima i naknade, prihode od prodaje proizvoda i robe te pruženih usluga i prihod</w:t>
      </w:r>
      <w:r w:rsidR="00D04886">
        <w:rPr>
          <w:rFonts w:ascii="Times New Roman" w:hAnsi="Times New Roman"/>
          <w:szCs w:val="24"/>
        </w:rPr>
        <w:t>e</w:t>
      </w:r>
      <w:r w:rsidR="003C4639">
        <w:rPr>
          <w:rFonts w:ascii="Times New Roman" w:hAnsi="Times New Roman"/>
          <w:szCs w:val="24"/>
        </w:rPr>
        <w:t xml:space="preserve"> od donacija te povrat</w:t>
      </w:r>
      <w:r w:rsidR="00E16513">
        <w:rPr>
          <w:rFonts w:ascii="Times New Roman" w:hAnsi="Times New Roman"/>
          <w:szCs w:val="24"/>
        </w:rPr>
        <w:t>e</w:t>
      </w:r>
      <w:r w:rsidR="003C4639">
        <w:rPr>
          <w:rFonts w:ascii="Times New Roman" w:hAnsi="Times New Roman"/>
          <w:szCs w:val="24"/>
        </w:rPr>
        <w:t xml:space="preserve"> po protestiranim jamstvima, prihod</w:t>
      </w:r>
      <w:r w:rsidR="0098239A">
        <w:rPr>
          <w:rFonts w:ascii="Times New Roman" w:hAnsi="Times New Roman"/>
          <w:szCs w:val="24"/>
        </w:rPr>
        <w:t>e</w:t>
      </w:r>
      <w:r w:rsidR="003C4639">
        <w:rPr>
          <w:rFonts w:ascii="Times New Roman" w:hAnsi="Times New Roman"/>
          <w:szCs w:val="24"/>
        </w:rPr>
        <w:t xml:space="preserve"> iz nadležnog proračuna i od HZZO-a temeljem ugovornih obveza, kazne, upravne mjere i ostal</w:t>
      </w:r>
      <w:r w:rsidR="009E556E">
        <w:rPr>
          <w:rFonts w:ascii="Times New Roman" w:hAnsi="Times New Roman"/>
          <w:szCs w:val="24"/>
        </w:rPr>
        <w:t>e</w:t>
      </w:r>
      <w:r w:rsidR="003C4639">
        <w:rPr>
          <w:rFonts w:ascii="Times New Roman" w:hAnsi="Times New Roman"/>
          <w:szCs w:val="24"/>
        </w:rPr>
        <w:t xml:space="preserve"> prihod</w:t>
      </w:r>
      <w:r w:rsidR="00D56F45">
        <w:rPr>
          <w:rFonts w:ascii="Times New Roman" w:hAnsi="Times New Roman"/>
          <w:szCs w:val="24"/>
        </w:rPr>
        <w:t>e</w:t>
      </w:r>
      <w:r w:rsidR="003C4639">
        <w:rPr>
          <w:rFonts w:ascii="Times New Roman" w:hAnsi="Times New Roman"/>
          <w:szCs w:val="24"/>
        </w:rPr>
        <w:t>.</w:t>
      </w:r>
    </w:p>
    <w:p w14:paraId="250D3C5A" w14:textId="77777777" w:rsidR="00E13D06" w:rsidRPr="00E13D06" w:rsidRDefault="00C43776" w:rsidP="00C43776">
      <w:pPr>
        <w:tabs>
          <w:tab w:val="left" w:pos="1134"/>
        </w:tabs>
        <w:spacing w:line="36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</w:p>
    <w:p w14:paraId="07D11653" w14:textId="143726F9" w:rsidR="00B73B12" w:rsidRDefault="00B73B12" w:rsidP="00D56F45">
      <w:pPr>
        <w:tabs>
          <w:tab w:val="left" w:pos="1134"/>
          <w:tab w:val="center" w:pos="6663"/>
        </w:tabs>
        <w:spacing w:line="360" w:lineRule="auto"/>
        <w:jc w:val="both"/>
        <w:rPr>
          <w:rFonts w:ascii="Times New Roman" w:hAnsi="Times New Roman"/>
          <w:bCs/>
          <w:noProof/>
          <w:szCs w:val="24"/>
        </w:rPr>
      </w:pPr>
      <w:r w:rsidRPr="00E16513">
        <w:rPr>
          <w:rFonts w:ascii="Times New Roman" w:hAnsi="Times New Roman"/>
          <w:color w:val="000000" w:themeColor="text1"/>
          <w:szCs w:val="24"/>
        </w:rPr>
        <w:tab/>
      </w:r>
      <w:r w:rsidRPr="00E16513">
        <w:rPr>
          <w:rFonts w:ascii="Times New Roman" w:hAnsi="Times New Roman"/>
          <w:bCs/>
          <w:noProof/>
          <w:szCs w:val="24"/>
        </w:rPr>
        <w:tab/>
        <w:t xml:space="preserve"> </w:t>
      </w:r>
      <w:r w:rsidRPr="00E16513">
        <w:rPr>
          <w:rFonts w:ascii="Times New Roman" w:hAnsi="Times New Roman"/>
          <w:b/>
          <w:bCs/>
          <w:noProof/>
          <w:szCs w:val="24"/>
        </w:rPr>
        <w:t>(61) Prihodi od poreza</w:t>
      </w:r>
      <w:r w:rsidR="00CA29C7" w:rsidRPr="00E16513">
        <w:rPr>
          <w:rFonts w:ascii="Times New Roman" w:hAnsi="Times New Roman"/>
          <w:b/>
          <w:bCs/>
          <w:noProof/>
          <w:szCs w:val="24"/>
        </w:rPr>
        <w:t xml:space="preserve"> </w:t>
      </w:r>
      <w:r w:rsidR="00CA29C7" w:rsidRPr="00E16513">
        <w:rPr>
          <w:rFonts w:ascii="Times New Roman" w:hAnsi="Times New Roman"/>
          <w:bCs/>
          <w:noProof/>
          <w:szCs w:val="24"/>
        </w:rPr>
        <w:t xml:space="preserve">kao najznačajniji izvorni prihodi Županije u odnosu na prošlu godinu u porastu su za </w:t>
      </w:r>
      <w:r w:rsidR="002021A3" w:rsidRPr="00E16513">
        <w:rPr>
          <w:rFonts w:ascii="Times New Roman" w:hAnsi="Times New Roman"/>
          <w:bCs/>
          <w:noProof/>
          <w:szCs w:val="24"/>
        </w:rPr>
        <w:t>28,01</w:t>
      </w:r>
      <w:r w:rsidR="00CA29C7" w:rsidRPr="00E16513">
        <w:rPr>
          <w:rFonts w:ascii="Times New Roman" w:hAnsi="Times New Roman"/>
          <w:bCs/>
          <w:noProof/>
          <w:szCs w:val="24"/>
        </w:rPr>
        <w:t>%</w:t>
      </w:r>
      <w:r w:rsidR="00E16513">
        <w:rPr>
          <w:rFonts w:ascii="Times New Roman" w:hAnsi="Times New Roman"/>
          <w:bCs/>
          <w:noProof/>
          <w:szCs w:val="24"/>
        </w:rPr>
        <w:t xml:space="preserve">, dok je u odnosu na plan ostvarenje </w:t>
      </w:r>
      <w:r w:rsidR="00992FF2">
        <w:rPr>
          <w:rFonts w:ascii="Times New Roman" w:hAnsi="Times New Roman"/>
          <w:bCs/>
          <w:noProof/>
          <w:szCs w:val="24"/>
        </w:rPr>
        <w:t>56,08</w:t>
      </w:r>
      <w:r w:rsidR="00E16513">
        <w:rPr>
          <w:rFonts w:ascii="Times New Roman" w:hAnsi="Times New Roman"/>
          <w:bCs/>
          <w:noProof/>
          <w:szCs w:val="24"/>
        </w:rPr>
        <w:t xml:space="preserve">%. </w:t>
      </w:r>
      <w:r w:rsidR="00B36629">
        <w:rPr>
          <w:rFonts w:ascii="Times New Roman" w:hAnsi="Times New Roman"/>
          <w:bCs/>
          <w:noProof/>
          <w:szCs w:val="24"/>
        </w:rPr>
        <w:t>P</w:t>
      </w:r>
      <w:r w:rsidR="00CD5079" w:rsidRPr="00BF5A23">
        <w:rPr>
          <w:rFonts w:ascii="Times New Roman" w:hAnsi="Times New Roman"/>
          <w:bCs/>
          <w:noProof/>
          <w:szCs w:val="24"/>
        </w:rPr>
        <w:t xml:space="preserve">orez na dohodak ostvaren je </w:t>
      </w:r>
      <w:r w:rsidR="00992FF2">
        <w:rPr>
          <w:rFonts w:ascii="Times New Roman" w:hAnsi="Times New Roman"/>
          <w:bCs/>
          <w:noProof/>
          <w:szCs w:val="24"/>
        </w:rPr>
        <w:t>29,33</w:t>
      </w:r>
      <w:r w:rsidR="00CD5079" w:rsidRPr="00BF5A23">
        <w:rPr>
          <w:rFonts w:ascii="Times New Roman" w:hAnsi="Times New Roman"/>
          <w:bCs/>
          <w:noProof/>
          <w:szCs w:val="24"/>
        </w:rPr>
        <w:t xml:space="preserve">% više u odnosu na prošlu godinu, a u odnosu na plan ove godine ostvarenje je </w:t>
      </w:r>
      <w:r w:rsidR="00B252CD">
        <w:rPr>
          <w:rFonts w:ascii="Times New Roman" w:hAnsi="Times New Roman"/>
          <w:bCs/>
          <w:noProof/>
          <w:szCs w:val="24"/>
        </w:rPr>
        <w:t>56,74</w:t>
      </w:r>
      <w:r w:rsidR="00CD5079" w:rsidRPr="00BF5A23">
        <w:rPr>
          <w:rFonts w:ascii="Times New Roman" w:hAnsi="Times New Roman"/>
          <w:bCs/>
          <w:noProof/>
          <w:szCs w:val="24"/>
        </w:rPr>
        <w:t>%</w:t>
      </w:r>
      <w:r w:rsidR="00C85AD5" w:rsidRPr="00BF5A23">
        <w:rPr>
          <w:rFonts w:ascii="Times New Roman" w:hAnsi="Times New Roman"/>
          <w:bCs/>
          <w:noProof/>
          <w:szCs w:val="24"/>
        </w:rPr>
        <w:t>.</w:t>
      </w:r>
      <w:r w:rsidR="008305A6">
        <w:rPr>
          <w:rFonts w:ascii="Times New Roman" w:hAnsi="Times New Roman"/>
          <w:bCs/>
          <w:noProof/>
          <w:szCs w:val="24"/>
        </w:rPr>
        <w:t xml:space="preserve"> Od toga</w:t>
      </w:r>
      <w:r w:rsidR="002264F0">
        <w:rPr>
          <w:rFonts w:ascii="Times New Roman" w:hAnsi="Times New Roman"/>
          <w:bCs/>
          <w:noProof/>
          <w:szCs w:val="24"/>
        </w:rPr>
        <w:t xml:space="preserve">, </w:t>
      </w:r>
      <w:r w:rsidR="000B41DA">
        <w:rPr>
          <w:rFonts w:ascii="Times New Roman" w:hAnsi="Times New Roman"/>
          <w:bCs/>
          <w:noProof/>
          <w:szCs w:val="24"/>
        </w:rPr>
        <w:t>prihod</w:t>
      </w:r>
      <w:r w:rsidR="002264F0">
        <w:rPr>
          <w:rFonts w:ascii="Times New Roman" w:hAnsi="Times New Roman"/>
          <w:bCs/>
          <w:noProof/>
          <w:szCs w:val="24"/>
        </w:rPr>
        <w:t xml:space="preserve"> </w:t>
      </w:r>
      <w:r w:rsidR="000B41DA">
        <w:rPr>
          <w:rFonts w:ascii="Times New Roman" w:hAnsi="Times New Roman"/>
          <w:bCs/>
          <w:noProof/>
          <w:szCs w:val="24"/>
        </w:rPr>
        <w:t xml:space="preserve">od poreza na </w:t>
      </w:r>
      <w:r w:rsidR="008305A6">
        <w:rPr>
          <w:rFonts w:ascii="Times New Roman" w:hAnsi="Times New Roman"/>
          <w:bCs/>
          <w:noProof/>
          <w:szCs w:val="24"/>
        </w:rPr>
        <w:t>dohodak ostvaren na ime decentralizranih funkcija koji se namjenski raspoređuje ostvaren je u iznosu od 728.436,85 €.</w:t>
      </w:r>
    </w:p>
    <w:p w14:paraId="7B522885" w14:textId="7BA35C71" w:rsidR="008305A6" w:rsidRPr="00BF5A23" w:rsidRDefault="008305A6" w:rsidP="00D56F45">
      <w:pPr>
        <w:tabs>
          <w:tab w:val="left" w:pos="1134"/>
          <w:tab w:val="center" w:pos="6663"/>
        </w:tabs>
        <w:spacing w:line="360" w:lineRule="auto"/>
        <w:jc w:val="both"/>
        <w:rPr>
          <w:rFonts w:ascii="Times New Roman" w:hAnsi="Times New Roman"/>
          <w:bCs/>
          <w:noProof/>
          <w:szCs w:val="24"/>
        </w:rPr>
      </w:pPr>
      <w:r>
        <w:rPr>
          <w:rFonts w:ascii="Times New Roman" w:hAnsi="Times New Roman"/>
          <w:bCs/>
          <w:noProof/>
          <w:szCs w:val="24"/>
        </w:rPr>
        <w:tab/>
        <w:t>Nenamjenski dio</w:t>
      </w:r>
      <w:r w:rsidR="000B41DA">
        <w:rPr>
          <w:rFonts w:ascii="Times New Roman" w:hAnsi="Times New Roman"/>
          <w:bCs/>
          <w:noProof/>
          <w:szCs w:val="24"/>
        </w:rPr>
        <w:t xml:space="preserve"> prihoda od </w:t>
      </w:r>
      <w:r>
        <w:rPr>
          <w:rFonts w:ascii="Times New Roman" w:hAnsi="Times New Roman"/>
          <w:bCs/>
          <w:noProof/>
          <w:szCs w:val="24"/>
        </w:rPr>
        <w:t xml:space="preserve">poreza na dohodak </w:t>
      </w:r>
      <w:r w:rsidR="000B41DA">
        <w:rPr>
          <w:rFonts w:ascii="Times New Roman" w:hAnsi="Times New Roman"/>
          <w:bCs/>
          <w:noProof/>
          <w:szCs w:val="24"/>
        </w:rPr>
        <w:t xml:space="preserve">u obračunskom razdoblju </w:t>
      </w:r>
      <w:r w:rsidR="00AE6A34">
        <w:rPr>
          <w:rFonts w:ascii="Times New Roman" w:hAnsi="Times New Roman"/>
          <w:bCs/>
          <w:noProof/>
          <w:szCs w:val="24"/>
        </w:rPr>
        <w:t>ostvaren je u iznosu od 3.690.227,47 €</w:t>
      </w:r>
      <w:r w:rsidR="000B41DA">
        <w:rPr>
          <w:rFonts w:ascii="Times New Roman" w:hAnsi="Times New Roman"/>
          <w:bCs/>
          <w:noProof/>
          <w:szCs w:val="24"/>
        </w:rPr>
        <w:t xml:space="preserve"> što je 34,53% više u odnosu na promatrano razdoblje prošle godine, a  50,50% više u odnosu na plan. </w:t>
      </w:r>
    </w:p>
    <w:p w14:paraId="19E96344" w14:textId="77777777" w:rsidR="00FF1C8F" w:rsidRPr="005C7DDD" w:rsidRDefault="00426DC9" w:rsidP="00C6045E">
      <w:pPr>
        <w:tabs>
          <w:tab w:val="left" w:pos="1134"/>
        </w:tabs>
        <w:spacing w:line="360" w:lineRule="auto"/>
        <w:jc w:val="both"/>
        <w:rPr>
          <w:rFonts w:ascii="Times New Roman" w:hAnsi="Times New Roman"/>
          <w:color w:val="000000" w:themeColor="text1"/>
          <w:szCs w:val="24"/>
        </w:rPr>
      </w:pPr>
      <w:r w:rsidRPr="005C7DDD">
        <w:rPr>
          <w:rFonts w:ascii="Times New Roman" w:hAnsi="Times New Roman"/>
          <w:color w:val="000000" w:themeColor="text1"/>
          <w:szCs w:val="24"/>
        </w:rPr>
        <w:tab/>
      </w:r>
      <w:r w:rsidR="00D56F45">
        <w:rPr>
          <w:rFonts w:ascii="Times New Roman" w:hAnsi="Times New Roman"/>
          <w:color w:val="000000" w:themeColor="text1"/>
          <w:szCs w:val="24"/>
        </w:rPr>
        <w:t xml:space="preserve"> </w:t>
      </w:r>
      <w:r w:rsidR="00B73B12" w:rsidRPr="005C7DDD">
        <w:rPr>
          <w:rFonts w:ascii="Times New Roman" w:hAnsi="Times New Roman"/>
          <w:color w:val="000000" w:themeColor="text1"/>
          <w:szCs w:val="24"/>
        </w:rPr>
        <w:t xml:space="preserve">Povrat poreza i prireza na dohodak po godišnjoj prijavi izvršen je u iznosu </w:t>
      </w:r>
      <w:r w:rsidR="0062147F" w:rsidRPr="005C7DDD">
        <w:rPr>
          <w:rFonts w:ascii="Times New Roman" w:hAnsi="Times New Roman"/>
          <w:color w:val="000000" w:themeColor="text1"/>
          <w:szCs w:val="24"/>
        </w:rPr>
        <w:t>1.</w:t>
      </w:r>
      <w:r w:rsidR="00B05769" w:rsidRPr="005C7DDD">
        <w:rPr>
          <w:rFonts w:ascii="Times New Roman" w:hAnsi="Times New Roman"/>
          <w:color w:val="000000" w:themeColor="text1"/>
          <w:szCs w:val="24"/>
        </w:rPr>
        <w:t>569.207,13</w:t>
      </w:r>
      <w:r w:rsidR="005A4553" w:rsidRPr="005C7DDD">
        <w:rPr>
          <w:rFonts w:ascii="Times New Roman" w:hAnsi="Times New Roman"/>
          <w:color w:val="000000" w:themeColor="text1"/>
          <w:szCs w:val="24"/>
        </w:rPr>
        <w:t xml:space="preserve"> </w:t>
      </w:r>
      <w:r w:rsidR="0062147F" w:rsidRPr="005C7DDD">
        <w:rPr>
          <w:rFonts w:ascii="Times New Roman" w:hAnsi="Times New Roman"/>
          <w:color w:val="000000" w:themeColor="text1"/>
          <w:szCs w:val="24"/>
        </w:rPr>
        <w:t>€.</w:t>
      </w:r>
    </w:p>
    <w:p w14:paraId="34E3C3DF" w14:textId="7DC2C750" w:rsidR="005C7DDD" w:rsidRPr="005C7DDD" w:rsidRDefault="001E42F0" w:rsidP="00A72F0B">
      <w:pPr>
        <w:tabs>
          <w:tab w:val="center" w:pos="6663"/>
        </w:tabs>
        <w:jc w:val="both"/>
        <w:rPr>
          <w:rFonts w:ascii="Times New Roman" w:hAnsi="Times New Roman"/>
          <w:bCs/>
          <w:noProof/>
          <w:sz w:val="20"/>
        </w:rPr>
      </w:pPr>
      <w:r w:rsidRPr="005C7DDD">
        <w:rPr>
          <w:rFonts w:ascii="Times New Roman" w:hAnsi="Times New Roman"/>
          <w:bCs/>
          <w:noProof/>
          <w:sz w:val="20"/>
        </w:rPr>
        <w:lastRenderedPageBreak/>
        <w:t xml:space="preserve">Porez </w:t>
      </w:r>
      <w:r w:rsidR="00A72F0B" w:rsidRPr="005C7DDD">
        <w:rPr>
          <w:rFonts w:ascii="Times New Roman" w:hAnsi="Times New Roman"/>
          <w:bCs/>
          <w:noProof/>
          <w:sz w:val="20"/>
        </w:rPr>
        <w:t>na dohodak</w:t>
      </w:r>
    </w:p>
    <w:tbl>
      <w:tblPr>
        <w:tblW w:w="9634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560"/>
        <w:gridCol w:w="1275"/>
        <w:gridCol w:w="1276"/>
        <w:gridCol w:w="1418"/>
        <w:gridCol w:w="992"/>
        <w:gridCol w:w="850"/>
      </w:tblGrid>
      <w:tr w:rsidR="00583420" w:rsidRPr="00863A11" w14:paraId="059C51FE" w14:textId="77777777" w:rsidTr="00583420">
        <w:trPr>
          <w:trHeight w:val="1065"/>
        </w:trPr>
        <w:tc>
          <w:tcPr>
            <w:tcW w:w="2263" w:type="dxa"/>
            <w:shd w:val="clear" w:color="auto" w:fill="auto"/>
            <w:vAlign w:val="center"/>
            <w:hideMark/>
          </w:tcPr>
          <w:p w14:paraId="20DDFEDB" w14:textId="77777777" w:rsidR="00863A11" w:rsidRPr="00863A11" w:rsidRDefault="00863A11" w:rsidP="00863A11">
            <w:pPr>
              <w:ind w:firstLineChars="100" w:firstLine="161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863A11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Oznaka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F86DDEA" w14:textId="77777777" w:rsidR="00863A11" w:rsidRPr="00863A11" w:rsidRDefault="00863A11" w:rsidP="00583420">
            <w:pPr>
              <w:ind w:firstLineChars="100" w:firstLine="161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863A11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Ostvarenje preth. god. (1)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3FC4959" w14:textId="77777777" w:rsidR="00863A11" w:rsidRPr="00863A11" w:rsidRDefault="00863A11" w:rsidP="00583420">
            <w:pPr>
              <w:ind w:firstLineChars="100" w:firstLine="161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863A11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Izvorni plan 2024.(2.)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096D88A" w14:textId="77777777" w:rsidR="00863A11" w:rsidRPr="00863A11" w:rsidRDefault="00863A11" w:rsidP="00583420">
            <w:pPr>
              <w:ind w:firstLineChars="100" w:firstLine="161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863A11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Tekući plan 2024. (3.)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5FDEDB1" w14:textId="77777777" w:rsidR="00863A11" w:rsidRPr="00863A11" w:rsidRDefault="00863A11" w:rsidP="00583420">
            <w:pPr>
              <w:ind w:firstLineChars="100" w:firstLine="161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863A11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Ostvarenje 30.06.2024. (4.)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99464B0" w14:textId="77777777" w:rsidR="00863A11" w:rsidRPr="00863A11" w:rsidRDefault="00863A11" w:rsidP="00583420">
            <w:pPr>
              <w:ind w:firstLineChars="100" w:firstLine="161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863A11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Indeks 4./1. (5.)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CE76F0E" w14:textId="77777777" w:rsidR="00863A11" w:rsidRPr="00863A11" w:rsidRDefault="00863A11" w:rsidP="00583420">
            <w:pPr>
              <w:ind w:firstLineChars="100" w:firstLine="161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863A11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Indeks 4./3. (6.)</w:t>
            </w:r>
          </w:p>
        </w:tc>
      </w:tr>
      <w:tr w:rsidR="00583420" w:rsidRPr="00863A11" w14:paraId="25243BED" w14:textId="77777777" w:rsidTr="00583420">
        <w:trPr>
          <w:trHeight w:val="335"/>
        </w:trPr>
        <w:tc>
          <w:tcPr>
            <w:tcW w:w="2263" w:type="dxa"/>
            <w:shd w:val="clear" w:color="000000" w:fill="FFFFFF"/>
            <w:vAlign w:val="bottom"/>
            <w:hideMark/>
          </w:tcPr>
          <w:p w14:paraId="590231F2" w14:textId="77777777" w:rsidR="00863A11" w:rsidRPr="00863A11" w:rsidRDefault="00863A11" w:rsidP="00863A11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63A11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611 POREZ I PRIREZ NA DOHODAK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4443055A" w14:textId="77777777" w:rsidR="00863A11" w:rsidRPr="00863A11" w:rsidRDefault="00863A11" w:rsidP="00863A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63A11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2.743.066,49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14:paraId="5A3131E0" w14:textId="77777777" w:rsidR="00863A11" w:rsidRPr="00863A11" w:rsidRDefault="00863A11" w:rsidP="00863A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63A11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7.306.993,00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14:paraId="2C533299" w14:textId="77777777" w:rsidR="00863A11" w:rsidRPr="00863A11" w:rsidRDefault="00863A11" w:rsidP="00863A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63A11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7.306.993,00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EC8D15B" w14:textId="77777777" w:rsidR="00863A11" w:rsidRPr="00863A11" w:rsidRDefault="00863A11" w:rsidP="00863A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63A11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3.690.227,47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14:paraId="49144542" w14:textId="77777777" w:rsidR="00863A11" w:rsidRPr="00863A11" w:rsidRDefault="00863A11" w:rsidP="00863A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63A11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134,53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14:paraId="29B1CD78" w14:textId="77777777" w:rsidR="00863A11" w:rsidRPr="00863A11" w:rsidRDefault="00863A11" w:rsidP="00863A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63A11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50,5</w:t>
            </w:r>
          </w:p>
        </w:tc>
      </w:tr>
      <w:tr w:rsidR="00583420" w:rsidRPr="00863A11" w14:paraId="30CF8DFC" w14:textId="77777777" w:rsidTr="00583420">
        <w:trPr>
          <w:trHeight w:val="495"/>
        </w:trPr>
        <w:tc>
          <w:tcPr>
            <w:tcW w:w="2263" w:type="dxa"/>
            <w:shd w:val="clear" w:color="000000" w:fill="FFFFFF"/>
            <w:vAlign w:val="bottom"/>
            <w:hideMark/>
          </w:tcPr>
          <w:p w14:paraId="7A1BC9F0" w14:textId="77777777" w:rsidR="00863A11" w:rsidRPr="00863A11" w:rsidRDefault="00863A11" w:rsidP="00863A1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63A11">
              <w:rPr>
                <w:rFonts w:ascii="Calibri" w:hAnsi="Calibri" w:cs="Calibri"/>
                <w:color w:val="000000"/>
                <w:sz w:val="16"/>
                <w:szCs w:val="16"/>
              </w:rPr>
              <w:t>6111 POREZ I PRIREZ NA DOHODAK OD NESAMOSTALNOG RADA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171EEA09" w14:textId="77777777" w:rsidR="00863A11" w:rsidRPr="00863A11" w:rsidRDefault="00863A11" w:rsidP="00863A1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63A11">
              <w:rPr>
                <w:rFonts w:ascii="Calibri" w:hAnsi="Calibri" w:cs="Calibri"/>
                <w:color w:val="000000"/>
                <w:sz w:val="16"/>
                <w:szCs w:val="16"/>
              </w:rPr>
              <w:t>3.747.527,76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14:paraId="180519D6" w14:textId="77777777" w:rsidR="00863A11" w:rsidRPr="00863A11" w:rsidRDefault="00863A11" w:rsidP="00863A1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63A11">
              <w:rPr>
                <w:rFonts w:ascii="Calibri" w:hAnsi="Calibri" w:cs="Calibri"/>
                <w:color w:val="000000"/>
                <w:sz w:val="16"/>
                <w:szCs w:val="16"/>
              </w:rPr>
              <w:t>8.300.000,00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14:paraId="16BCF3EC" w14:textId="77777777" w:rsidR="00863A11" w:rsidRPr="00863A11" w:rsidRDefault="00863A11" w:rsidP="00863A1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63A11">
              <w:rPr>
                <w:rFonts w:ascii="Calibri" w:hAnsi="Calibri" w:cs="Calibri"/>
                <w:color w:val="000000"/>
                <w:sz w:val="16"/>
                <w:szCs w:val="16"/>
              </w:rPr>
              <w:t>8.300.000,00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9E65BA8" w14:textId="77777777" w:rsidR="00863A11" w:rsidRPr="00863A11" w:rsidRDefault="00863A11" w:rsidP="00863A1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63A11">
              <w:rPr>
                <w:rFonts w:ascii="Calibri" w:hAnsi="Calibri" w:cs="Calibri"/>
                <w:color w:val="000000"/>
                <w:sz w:val="16"/>
                <w:szCs w:val="16"/>
              </w:rPr>
              <w:t>4.965.559,92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14:paraId="45571B57" w14:textId="77777777" w:rsidR="00863A11" w:rsidRPr="00863A11" w:rsidRDefault="00863A11" w:rsidP="00863A1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63A11">
              <w:rPr>
                <w:rFonts w:ascii="Calibri" w:hAnsi="Calibri" w:cs="Calibri"/>
                <w:color w:val="000000"/>
                <w:sz w:val="16"/>
                <w:szCs w:val="16"/>
              </w:rPr>
              <w:t>132,5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14:paraId="39C0B43E" w14:textId="77777777" w:rsidR="00863A11" w:rsidRPr="00863A11" w:rsidRDefault="00863A11" w:rsidP="00863A1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63A11">
              <w:rPr>
                <w:rFonts w:ascii="Calibri" w:hAnsi="Calibri" w:cs="Calibri"/>
                <w:color w:val="000000"/>
                <w:sz w:val="16"/>
                <w:szCs w:val="16"/>
              </w:rPr>
              <w:t>59,83</w:t>
            </w:r>
          </w:p>
        </w:tc>
      </w:tr>
      <w:tr w:rsidR="00583420" w:rsidRPr="00863A11" w14:paraId="0A2A51C1" w14:textId="77777777" w:rsidTr="00583420">
        <w:trPr>
          <w:trHeight w:val="570"/>
        </w:trPr>
        <w:tc>
          <w:tcPr>
            <w:tcW w:w="2263" w:type="dxa"/>
            <w:shd w:val="clear" w:color="000000" w:fill="FFFFFF"/>
            <w:vAlign w:val="bottom"/>
            <w:hideMark/>
          </w:tcPr>
          <w:p w14:paraId="2586BFC2" w14:textId="77777777" w:rsidR="00863A11" w:rsidRPr="00863A11" w:rsidRDefault="00863A11" w:rsidP="00863A1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63A11">
              <w:rPr>
                <w:rFonts w:ascii="Calibri" w:hAnsi="Calibri" w:cs="Calibri"/>
                <w:color w:val="000000"/>
                <w:sz w:val="16"/>
                <w:szCs w:val="16"/>
              </w:rPr>
              <w:t>6115 POREZ I PRIREZ NA DOHODAK PO GODIŠNJOJ PRIJAVI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3D774CB2" w14:textId="77777777" w:rsidR="00863A11" w:rsidRPr="00863A11" w:rsidRDefault="00863A11" w:rsidP="00863A1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63A11">
              <w:rPr>
                <w:rFonts w:ascii="Calibri" w:hAnsi="Calibri" w:cs="Calibri"/>
                <w:color w:val="000000"/>
                <w:sz w:val="16"/>
                <w:szCs w:val="16"/>
              </w:rPr>
              <w:t>96.581,98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14:paraId="24C60CA0" w14:textId="77777777" w:rsidR="00863A11" w:rsidRPr="00863A11" w:rsidRDefault="00863A11" w:rsidP="00863A1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63A11">
              <w:rPr>
                <w:rFonts w:ascii="Calibri" w:hAnsi="Calibri" w:cs="Calibri"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14:paraId="5CDF264C" w14:textId="77777777" w:rsidR="00863A11" w:rsidRPr="00863A11" w:rsidRDefault="00863A11" w:rsidP="00863A1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63A11">
              <w:rPr>
                <w:rFonts w:ascii="Calibri" w:hAnsi="Calibri" w:cs="Calibri"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7CD1915" w14:textId="77777777" w:rsidR="00863A11" w:rsidRPr="00863A11" w:rsidRDefault="00863A11" w:rsidP="00863A1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63A11">
              <w:rPr>
                <w:rFonts w:ascii="Calibri" w:hAnsi="Calibri" w:cs="Calibri"/>
                <w:color w:val="000000"/>
                <w:sz w:val="16"/>
                <w:szCs w:val="16"/>
              </w:rPr>
              <w:t>293.874,68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14:paraId="124834EA" w14:textId="77777777" w:rsidR="00863A11" w:rsidRPr="00863A11" w:rsidRDefault="00863A11" w:rsidP="00863A1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63A11">
              <w:rPr>
                <w:rFonts w:ascii="Calibri" w:hAnsi="Calibri" w:cs="Calibri"/>
                <w:color w:val="000000"/>
                <w:sz w:val="16"/>
                <w:szCs w:val="16"/>
              </w:rPr>
              <w:t>304,27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14:paraId="7722B944" w14:textId="77777777" w:rsidR="00863A11" w:rsidRPr="00863A11" w:rsidRDefault="00863A11" w:rsidP="00863A1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63A11">
              <w:rPr>
                <w:rFonts w:ascii="Calibri" w:hAnsi="Calibri" w:cs="Calibri"/>
                <w:color w:val="000000"/>
                <w:sz w:val="16"/>
                <w:szCs w:val="16"/>
              </w:rPr>
              <w:t>195,92</w:t>
            </w:r>
          </w:p>
        </w:tc>
      </w:tr>
      <w:tr w:rsidR="00583420" w:rsidRPr="00863A11" w14:paraId="0920E775" w14:textId="77777777" w:rsidTr="00583420">
        <w:trPr>
          <w:trHeight w:val="570"/>
        </w:trPr>
        <w:tc>
          <w:tcPr>
            <w:tcW w:w="2263" w:type="dxa"/>
            <w:shd w:val="clear" w:color="000000" w:fill="FFFFFF"/>
            <w:vAlign w:val="bottom"/>
            <w:hideMark/>
          </w:tcPr>
          <w:p w14:paraId="148F09E5" w14:textId="77777777" w:rsidR="00863A11" w:rsidRPr="00863A11" w:rsidRDefault="00863A11" w:rsidP="00863A1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63A11">
              <w:rPr>
                <w:rFonts w:ascii="Calibri" w:hAnsi="Calibri" w:cs="Calibri"/>
                <w:color w:val="000000"/>
                <w:sz w:val="16"/>
                <w:szCs w:val="16"/>
              </w:rPr>
              <w:t>6117 POVRAT POREZA I PRIREZA NA DOHODAK PO GODIŠNJOJ PRIJAVI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4E7B532F" w14:textId="77777777" w:rsidR="00863A11" w:rsidRPr="00863A11" w:rsidRDefault="00863A11" w:rsidP="00863A1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63A11">
              <w:rPr>
                <w:rFonts w:ascii="Calibri" w:hAnsi="Calibri" w:cs="Calibri"/>
                <w:color w:val="000000"/>
                <w:sz w:val="16"/>
                <w:szCs w:val="16"/>
              </w:rPr>
              <w:t>-1.101.043,25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14:paraId="6C33065E" w14:textId="77777777" w:rsidR="00863A11" w:rsidRPr="00863A11" w:rsidRDefault="00863A11" w:rsidP="00863A1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63A11">
              <w:rPr>
                <w:rFonts w:ascii="Calibri" w:hAnsi="Calibri" w:cs="Calibri"/>
                <w:color w:val="000000"/>
                <w:sz w:val="16"/>
                <w:szCs w:val="16"/>
              </w:rPr>
              <w:t>-1.143.007,00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14:paraId="7C882B3F" w14:textId="77777777" w:rsidR="00863A11" w:rsidRPr="00863A11" w:rsidRDefault="00863A11" w:rsidP="00863A1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63A11">
              <w:rPr>
                <w:rFonts w:ascii="Calibri" w:hAnsi="Calibri" w:cs="Calibri"/>
                <w:color w:val="000000"/>
                <w:sz w:val="16"/>
                <w:szCs w:val="16"/>
              </w:rPr>
              <w:t>-1.143.007,00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EF00DB2" w14:textId="77777777" w:rsidR="00863A11" w:rsidRPr="00863A11" w:rsidRDefault="00863A11" w:rsidP="00863A1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63A11">
              <w:rPr>
                <w:rFonts w:ascii="Calibri" w:hAnsi="Calibri" w:cs="Calibri"/>
                <w:color w:val="000000"/>
                <w:sz w:val="16"/>
                <w:szCs w:val="16"/>
              </w:rPr>
              <w:t>-1.569.207,13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14:paraId="2A4A183E" w14:textId="77777777" w:rsidR="00863A11" w:rsidRPr="00863A11" w:rsidRDefault="00863A11" w:rsidP="00863A1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63A11">
              <w:rPr>
                <w:rFonts w:ascii="Calibri" w:hAnsi="Calibri" w:cs="Calibri"/>
                <w:color w:val="000000"/>
                <w:sz w:val="16"/>
                <w:szCs w:val="16"/>
              </w:rPr>
              <w:t>142,52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14:paraId="7790CD4C" w14:textId="77777777" w:rsidR="00863A11" w:rsidRPr="00863A11" w:rsidRDefault="00863A11" w:rsidP="00863A1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63A11">
              <w:rPr>
                <w:rFonts w:ascii="Calibri" w:hAnsi="Calibri" w:cs="Calibri"/>
                <w:color w:val="000000"/>
                <w:sz w:val="16"/>
                <w:szCs w:val="16"/>
              </w:rPr>
              <w:t>137,29</w:t>
            </w:r>
          </w:p>
        </w:tc>
      </w:tr>
    </w:tbl>
    <w:p w14:paraId="4E5C16F2" w14:textId="77777777" w:rsidR="00C85AD5" w:rsidRPr="00381750" w:rsidRDefault="00C85AD5" w:rsidP="00A72F0B">
      <w:pPr>
        <w:tabs>
          <w:tab w:val="center" w:pos="6663"/>
        </w:tabs>
        <w:jc w:val="both"/>
        <w:rPr>
          <w:rFonts w:ascii="Times New Roman" w:hAnsi="Times New Roman"/>
          <w:bCs/>
          <w:noProof/>
          <w:sz w:val="20"/>
          <w:highlight w:val="yellow"/>
        </w:rPr>
      </w:pPr>
    </w:p>
    <w:p w14:paraId="3DE91888" w14:textId="3D515071" w:rsidR="00C85AD5" w:rsidRPr="00381750" w:rsidRDefault="00540F55" w:rsidP="00C6045E">
      <w:pPr>
        <w:tabs>
          <w:tab w:val="left" w:pos="993"/>
        </w:tabs>
        <w:spacing w:line="360" w:lineRule="auto"/>
        <w:jc w:val="both"/>
        <w:rPr>
          <w:rFonts w:ascii="Times New Roman" w:hAnsi="Times New Roman"/>
          <w:bCs/>
          <w:noProof/>
          <w:szCs w:val="24"/>
          <w:highlight w:val="yellow"/>
        </w:rPr>
      </w:pPr>
      <w:r>
        <w:rPr>
          <w:rFonts w:ascii="Times New Roman" w:hAnsi="Times New Roman"/>
          <w:bCs/>
          <w:noProof/>
          <w:szCs w:val="24"/>
        </w:rPr>
        <w:tab/>
        <w:t xml:space="preserve"> </w:t>
      </w:r>
      <w:r w:rsidR="00C85AD5" w:rsidRPr="00DE5B0F">
        <w:rPr>
          <w:rFonts w:ascii="Times New Roman" w:hAnsi="Times New Roman"/>
          <w:bCs/>
          <w:noProof/>
          <w:szCs w:val="24"/>
        </w:rPr>
        <w:t xml:space="preserve">U odnosu na promatrano razdoblje prošle godine porez na cestovna motorna </w:t>
      </w:r>
      <w:r w:rsidR="00C85AD5" w:rsidRPr="00580AF1">
        <w:rPr>
          <w:rFonts w:ascii="Times New Roman" w:hAnsi="Times New Roman"/>
          <w:bCs/>
          <w:noProof/>
          <w:szCs w:val="24"/>
        </w:rPr>
        <w:t>vozila</w:t>
      </w:r>
      <w:r w:rsidR="0054435C" w:rsidRPr="0054435C">
        <w:rPr>
          <w:rFonts w:ascii="Times New Roman" w:hAnsi="Times New Roman"/>
          <w:bCs/>
          <w:noProof/>
          <w:szCs w:val="24"/>
        </w:rPr>
        <w:t xml:space="preserve"> </w:t>
      </w:r>
      <w:r w:rsidR="0054435C" w:rsidRPr="00DE5B0F">
        <w:rPr>
          <w:rFonts w:ascii="Times New Roman" w:hAnsi="Times New Roman"/>
          <w:bCs/>
          <w:noProof/>
          <w:szCs w:val="24"/>
        </w:rPr>
        <w:t>u blagom</w:t>
      </w:r>
      <w:r w:rsidR="0054435C">
        <w:rPr>
          <w:rFonts w:ascii="Times New Roman" w:hAnsi="Times New Roman"/>
          <w:bCs/>
          <w:noProof/>
          <w:szCs w:val="24"/>
        </w:rPr>
        <w:t xml:space="preserve"> je</w:t>
      </w:r>
      <w:r w:rsidR="0054435C" w:rsidRPr="00DE5B0F">
        <w:rPr>
          <w:rFonts w:ascii="Times New Roman" w:hAnsi="Times New Roman"/>
          <w:bCs/>
          <w:noProof/>
          <w:szCs w:val="24"/>
        </w:rPr>
        <w:t xml:space="preserve"> porastu </w:t>
      </w:r>
      <w:r w:rsidR="0054435C">
        <w:rPr>
          <w:rFonts w:ascii="Times New Roman" w:hAnsi="Times New Roman"/>
          <w:bCs/>
          <w:noProof/>
          <w:szCs w:val="24"/>
        </w:rPr>
        <w:t>za</w:t>
      </w:r>
      <w:r w:rsidR="00C85AD5" w:rsidRPr="00580AF1">
        <w:rPr>
          <w:rFonts w:ascii="Times New Roman" w:hAnsi="Times New Roman"/>
          <w:bCs/>
          <w:noProof/>
          <w:szCs w:val="24"/>
        </w:rPr>
        <w:t xml:space="preserve"> </w:t>
      </w:r>
      <w:r w:rsidR="0074191B" w:rsidRPr="00580AF1">
        <w:rPr>
          <w:rFonts w:ascii="Times New Roman" w:hAnsi="Times New Roman"/>
          <w:bCs/>
          <w:noProof/>
          <w:szCs w:val="24"/>
        </w:rPr>
        <w:t>7,18</w:t>
      </w:r>
      <w:r w:rsidR="00C85AD5" w:rsidRPr="00580AF1">
        <w:rPr>
          <w:rFonts w:ascii="Times New Roman" w:hAnsi="Times New Roman"/>
          <w:bCs/>
          <w:noProof/>
          <w:szCs w:val="24"/>
        </w:rPr>
        <w:t>%</w:t>
      </w:r>
      <w:r w:rsidR="00580AF1" w:rsidRPr="00580AF1">
        <w:rPr>
          <w:rFonts w:ascii="Times New Roman" w:hAnsi="Times New Roman"/>
          <w:bCs/>
          <w:noProof/>
          <w:szCs w:val="24"/>
        </w:rPr>
        <w:t xml:space="preserve"> </w:t>
      </w:r>
      <w:r w:rsidR="00C85AD5" w:rsidRPr="00580AF1">
        <w:rPr>
          <w:rFonts w:ascii="Times New Roman" w:hAnsi="Times New Roman"/>
          <w:bCs/>
          <w:noProof/>
          <w:szCs w:val="24"/>
        </w:rPr>
        <w:t xml:space="preserve"> dok je porez na automate i zabavne igre u </w:t>
      </w:r>
      <w:r w:rsidR="007729EF">
        <w:rPr>
          <w:rFonts w:ascii="Times New Roman" w:hAnsi="Times New Roman"/>
          <w:bCs/>
          <w:noProof/>
          <w:szCs w:val="24"/>
        </w:rPr>
        <w:t xml:space="preserve">manji </w:t>
      </w:r>
      <w:r w:rsidR="00C85AD5" w:rsidRPr="00580AF1">
        <w:rPr>
          <w:rFonts w:ascii="Times New Roman" w:hAnsi="Times New Roman"/>
          <w:bCs/>
          <w:noProof/>
          <w:szCs w:val="24"/>
        </w:rPr>
        <w:t xml:space="preserve">za </w:t>
      </w:r>
      <w:r w:rsidR="007729EF">
        <w:rPr>
          <w:rFonts w:ascii="Times New Roman" w:hAnsi="Times New Roman"/>
          <w:bCs/>
          <w:noProof/>
          <w:szCs w:val="24"/>
        </w:rPr>
        <w:t>6,79</w:t>
      </w:r>
      <w:r w:rsidR="00C85AD5" w:rsidRPr="00580AF1">
        <w:rPr>
          <w:rFonts w:ascii="Times New Roman" w:hAnsi="Times New Roman"/>
          <w:bCs/>
          <w:noProof/>
          <w:szCs w:val="24"/>
        </w:rPr>
        <w:t xml:space="preserve">% </w:t>
      </w:r>
      <w:r>
        <w:rPr>
          <w:rFonts w:ascii="Times New Roman" w:hAnsi="Times New Roman"/>
          <w:bCs/>
          <w:noProof/>
          <w:szCs w:val="24"/>
        </w:rPr>
        <w:t>.</w:t>
      </w:r>
    </w:p>
    <w:p w14:paraId="7F840B1B" w14:textId="0B16745D" w:rsidR="00B73B12" w:rsidRPr="004E7348" w:rsidRDefault="00C63295" w:rsidP="004E7348">
      <w:pPr>
        <w:tabs>
          <w:tab w:val="left" w:pos="567"/>
          <w:tab w:val="left" w:pos="993"/>
          <w:tab w:val="center" w:pos="6663"/>
        </w:tabs>
        <w:spacing w:line="360" w:lineRule="auto"/>
        <w:jc w:val="both"/>
        <w:rPr>
          <w:rFonts w:ascii="Times New Roman" w:hAnsi="Times New Roman"/>
          <w:bCs/>
          <w:noProof/>
          <w:szCs w:val="24"/>
        </w:rPr>
      </w:pPr>
      <w:r w:rsidRPr="00580AF1">
        <w:rPr>
          <w:rFonts w:ascii="Times New Roman" w:hAnsi="Times New Roman"/>
          <w:bCs/>
          <w:noProof/>
          <w:szCs w:val="24"/>
        </w:rPr>
        <w:tab/>
      </w:r>
      <w:r w:rsidR="00583420">
        <w:rPr>
          <w:rFonts w:ascii="Times New Roman" w:hAnsi="Times New Roman"/>
          <w:bCs/>
          <w:noProof/>
          <w:szCs w:val="24"/>
        </w:rPr>
        <w:tab/>
      </w:r>
      <w:r w:rsidR="00B73B12" w:rsidRPr="00580AF1">
        <w:rPr>
          <w:rFonts w:ascii="Times New Roman" w:hAnsi="Times New Roman"/>
          <w:bCs/>
          <w:noProof/>
          <w:szCs w:val="24"/>
        </w:rPr>
        <w:t>Porez na nasljedstva i darove</w:t>
      </w:r>
      <w:r w:rsidR="00580AF1" w:rsidRPr="00580AF1">
        <w:rPr>
          <w:rFonts w:ascii="Times New Roman" w:hAnsi="Times New Roman"/>
          <w:bCs/>
          <w:noProof/>
          <w:szCs w:val="24"/>
        </w:rPr>
        <w:t xml:space="preserve"> koji varira </w:t>
      </w:r>
      <w:r w:rsidR="00583420">
        <w:rPr>
          <w:rFonts w:ascii="Times New Roman" w:hAnsi="Times New Roman"/>
          <w:bCs/>
          <w:noProof/>
          <w:szCs w:val="24"/>
        </w:rPr>
        <w:t>kroz godine</w:t>
      </w:r>
      <w:r w:rsidR="00B73B12" w:rsidRPr="00580AF1">
        <w:rPr>
          <w:rFonts w:ascii="Times New Roman" w:hAnsi="Times New Roman"/>
          <w:bCs/>
          <w:noProof/>
          <w:szCs w:val="24"/>
        </w:rPr>
        <w:t xml:space="preserve"> </w:t>
      </w:r>
      <w:r w:rsidR="00580AF1" w:rsidRPr="00580AF1">
        <w:rPr>
          <w:rFonts w:ascii="Times New Roman" w:hAnsi="Times New Roman"/>
          <w:bCs/>
          <w:noProof/>
          <w:szCs w:val="24"/>
        </w:rPr>
        <w:t>također</w:t>
      </w:r>
      <w:r w:rsidR="007869AB">
        <w:rPr>
          <w:rFonts w:ascii="Times New Roman" w:hAnsi="Times New Roman"/>
          <w:bCs/>
          <w:noProof/>
          <w:szCs w:val="24"/>
        </w:rPr>
        <w:t xml:space="preserve"> </w:t>
      </w:r>
      <w:r w:rsidR="00580AF1" w:rsidRPr="00580AF1">
        <w:rPr>
          <w:rFonts w:ascii="Times New Roman" w:hAnsi="Times New Roman"/>
          <w:bCs/>
          <w:noProof/>
          <w:szCs w:val="24"/>
        </w:rPr>
        <w:t xml:space="preserve">bilježi povećanje u odnosu na obračunsko razdoblje prošle godine, a u odnosu na plan ove godine ostvarenje je </w:t>
      </w:r>
      <w:r w:rsidR="00E220C0" w:rsidRPr="00580AF1">
        <w:rPr>
          <w:rFonts w:ascii="Times New Roman" w:hAnsi="Times New Roman"/>
          <w:bCs/>
          <w:noProof/>
          <w:szCs w:val="24"/>
        </w:rPr>
        <w:t xml:space="preserve"> </w:t>
      </w:r>
      <w:r w:rsidR="00580AF1" w:rsidRPr="00580AF1">
        <w:rPr>
          <w:rFonts w:ascii="Times New Roman" w:hAnsi="Times New Roman"/>
          <w:bCs/>
          <w:noProof/>
          <w:szCs w:val="24"/>
        </w:rPr>
        <w:t>879</w:t>
      </w:r>
      <w:r w:rsidR="002F1334">
        <w:rPr>
          <w:rFonts w:ascii="Times New Roman" w:hAnsi="Times New Roman"/>
          <w:bCs/>
          <w:noProof/>
          <w:szCs w:val="24"/>
        </w:rPr>
        <w:t>,02</w:t>
      </w:r>
      <w:r w:rsidR="00580AF1" w:rsidRPr="00580AF1">
        <w:rPr>
          <w:rFonts w:ascii="Times New Roman" w:hAnsi="Times New Roman"/>
          <w:bCs/>
          <w:noProof/>
          <w:szCs w:val="24"/>
        </w:rPr>
        <w:t>%</w:t>
      </w:r>
      <w:r w:rsidR="000B20D7" w:rsidRPr="00580AF1">
        <w:rPr>
          <w:rFonts w:ascii="Times New Roman" w:hAnsi="Times New Roman"/>
          <w:bCs/>
          <w:noProof/>
          <w:szCs w:val="24"/>
        </w:rPr>
        <w:t xml:space="preserve"> </w:t>
      </w:r>
      <w:r w:rsidR="00580AF1" w:rsidRPr="00580AF1">
        <w:rPr>
          <w:rFonts w:ascii="Times New Roman" w:hAnsi="Times New Roman"/>
          <w:bCs/>
          <w:noProof/>
          <w:szCs w:val="24"/>
        </w:rPr>
        <w:t>.</w:t>
      </w:r>
      <w:r w:rsidR="000B20D7" w:rsidRPr="00580AF1">
        <w:rPr>
          <w:rFonts w:ascii="Times New Roman" w:hAnsi="Times New Roman"/>
          <w:bCs/>
          <w:noProof/>
          <w:szCs w:val="24"/>
        </w:rPr>
        <w:t xml:space="preserve"> </w:t>
      </w:r>
      <w:r w:rsidR="00862FD5" w:rsidRPr="00580AF1">
        <w:rPr>
          <w:rFonts w:ascii="Times New Roman" w:hAnsi="Times New Roman"/>
          <w:bCs/>
          <w:noProof/>
          <w:szCs w:val="24"/>
        </w:rPr>
        <w:t xml:space="preserve">Isti je teško procijeniti  </w:t>
      </w:r>
      <w:r w:rsidR="009B1620" w:rsidRPr="00580AF1">
        <w:rPr>
          <w:rFonts w:ascii="Times New Roman" w:hAnsi="Times New Roman"/>
          <w:bCs/>
          <w:noProof/>
          <w:szCs w:val="24"/>
        </w:rPr>
        <w:t>jer obveza plaćanja poreza na nasljedstva i darove nastaje u trenutku pravomoćnosti rješenja o nasljeđivanju ili odluke javnopravnog tijela ili suda u trenutku primitka dara. Osnovicu poreza na nasljedstva i darove utvrđuje nadležno porezno tijelo. Porez na nasljedstva i darove plaća se po stopi od 4%.</w:t>
      </w:r>
    </w:p>
    <w:p w14:paraId="07AB15A8" w14:textId="2C23AB31" w:rsidR="00DF09BC" w:rsidRPr="006951A6" w:rsidRDefault="00C63295" w:rsidP="00C6045E">
      <w:pPr>
        <w:tabs>
          <w:tab w:val="left" w:pos="993"/>
          <w:tab w:val="center" w:pos="6663"/>
        </w:tabs>
        <w:spacing w:line="360" w:lineRule="auto"/>
        <w:jc w:val="both"/>
        <w:rPr>
          <w:rFonts w:ascii="Times New Roman" w:hAnsi="Times New Roman"/>
          <w:bCs/>
          <w:noProof/>
          <w:szCs w:val="24"/>
        </w:rPr>
      </w:pPr>
      <w:r w:rsidRPr="0091554C">
        <w:rPr>
          <w:rFonts w:ascii="Times New Roman" w:hAnsi="Times New Roman"/>
          <w:b/>
          <w:bCs/>
          <w:noProof/>
          <w:szCs w:val="24"/>
        </w:rPr>
        <w:tab/>
      </w:r>
      <w:r w:rsidR="00B73B12" w:rsidRPr="0091554C">
        <w:rPr>
          <w:rFonts w:ascii="Times New Roman" w:hAnsi="Times New Roman"/>
          <w:b/>
          <w:bCs/>
          <w:noProof/>
          <w:szCs w:val="24"/>
        </w:rPr>
        <w:t>(</w:t>
      </w:r>
      <w:r w:rsidR="00B73B12" w:rsidRPr="00F311C0">
        <w:rPr>
          <w:rFonts w:ascii="Times New Roman" w:hAnsi="Times New Roman"/>
          <w:b/>
          <w:bCs/>
          <w:noProof/>
          <w:szCs w:val="24"/>
        </w:rPr>
        <w:t>63) Pomoći iz inozemstva i od subjekata unutar općeg proračuna</w:t>
      </w:r>
      <w:r w:rsidR="00B73B12" w:rsidRPr="00F311C0">
        <w:rPr>
          <w:rFonts w:ascii="Times New Roman" w:hAnsi="Times New Roman"/>
          <w:bCs/>
          <w:noProof/>
          <w:szCs w:val="24"/>
        </w:rPr>
        <w:t xml:space="preserve"> ostvarene su u visini </w:t>
      </w:r>
      <w:r w:rsidR="00F311C0" w:rsidRPr="00F311C0">
        <w:rPr>
          <w:rFonts w:ascii="Times New Roman" w:hAnsi="Times New Roman"/>
          <w:bCs/>
          <w:noProof/>
          <w:szCs w:val="24"/>
        </w:rPr>
        <w:t>27.486.</w:t>
      </w:r>
      <w:r w:rsidR="00914E93">
        <w:rPr>
          <w:rFonts w:ascii="Times New Roman" w:hAnsi="Times New Roman"/>
          <w:bCs/>
          <w:noProof/>
          <w:szCs w:val="24"/>
        </w:rPr>
        <w:t>916</w:t>
      </w:r>
      <w:r w:rsidR="00F311C0" w:rsidRPr="00F311C0">
        <w:rPr>
          <w:rFonts w:ascii="Times New Roman" w:hAnsi="Times New Roman"/>
          <w:bCs/>
          <w:noProof/>
          <w:szCs w:val="24"/>
        </w:rPr>
        <w:t>,07</w:t>
      </w:r>
      <w:r w:rsidR="004A22AB" w:rsidRPr="00F311C0">
        <w:rPr>
          <w:rFonts w:ascii="Times New Roman" w:hAnsi="Times New Roman"/>
          <w:bCs/>
          <w:noProof/>
          <w:szCs w:val="24"/>
        </w:rPr>
        <w:t xml:space="preserve"> €</w:t>
      </w:r>
      <w:r w:rsidR="00B73B12" w:rsidRPr="00F311C0">
        <w:rPr>
          <w:rFonts w:ascii="Times New Roman" w:hAnsi="Times New Roman"/>
          <w:bCs/>
          <w:noProof/>
          <w:szCs w:val="24"/>
        </w:rPr>
        <w:t xml:space="preserve"> što je </w:t>
      </w:r>
      <w:r w:rsidR="00F311C0" w:rsidRPr="00F311C0">
        <w:rPr>
          <w:rFonts w:ascii="Times New Roman" w:hAnsi="Times New Roman"/>
          <w:bCs/>
          <w:noProof/>
          <w:szCs w:val="24"/>
        </w:rPr>
        <w:t>17,72</w:t>
      </w:r>
      <w:r w:rsidR="00DF7630" w:rsidRPr="00F311C0">
        <w:rPr>
          <w:rFonts w:ascii="Times New Roman" w:hAnsi="Times New Roman"/>
          <w:bCs/>
          <w:noProof/>
          <w:szCs w:val="24"/>
        </w:rPr>
        <w:t>%</w:t>
      </w:r>
      <w:r w:rsidR="00F311C0" w:rsidRPr="00F311C0">
        <w:rPr>
          <w:rFonts w:ascii="Times New Roman" w:hAnsi="Times New Roman"/>
          <w:bCs/>
          <w:noProof/>
          <w:szCs w:val="24"/>
        </w:rPr>
        <w:t xml:space="preserve"> </w:t>
      </w:r>
      <w:r w:rsidR="00370CD0" w:rsidRPr="00F311C0">
        <w:rPr>
          <w:rFonts w:ascii="Times New Roman" w:hAnsi="Times New Roman"/>
          <w:bCs/>
          <w:noProof/>
          <w:szCs w:val="24"/>
        </w:rPr>
        <w:t xml:space="preserve"> </w:t>
      </w:r>
      <w:r w:rsidR="00F311C0" w:rsidRPr="00F311C0">
        <w:rPr>
          <w:rFonts w:ascii="Times New Roman" w:hAnsi="Times New Roman"/>
          <w:bCs/>
          <w:noProof/>
          <w:szCs w:val="24"/>
        </w:rPr>
        <w:t xml:space="preserve">više u </w:t>
      </w:r>
      <w:r w:rsidR="00B73B12" w:rsidRPr="00F311C0">
        <w:rPr>
          <w:rFonts w:ascii="Times New Roman" w:hAnsi="Times New Roman"/>
          <w:bCs/>
          <w:noProof/>
          <w:szCs w:val="24"/>
        </w:rPr>
        <w:t xml:space="preserve">odnosu na ostvarenje promatranog razdoblja prethodne godine, a </w:t>
      </w:r>
      <w:r w:rsidR="0036793D">
        <w:rPr>
          <w:rFonts w:ascii="Times New Roman" w:hAnsi="Times New Roman"/>
          <w:bCs/>
          <w:noProof/>
          <w:szCs w:val="24"/>
        </w:rPr>
        <w:t>48,89</w:t>
      </w:r>
      <w:r w:rsidR="004A22AB" w:rsidRPr="00F311C0">
        <w:rPr>
          <w:rFonts w:ascii="Times New Roman" w:hAnsi="Times New Roman"/>
          <w:bCs/>
          <w:noProof/>
          <w:szCs w:val="24"/>
        </w:rPr>
        <w:t>%</w:t>
      </w:r>
      <w:r w:rsidR="00B73B12" w:rsidRPr="00F311C0">
        <w:rPr>
          <w:rFonts w:ascii="Times New Roman" w:hAnsi="Times New Roman"/>
          <w:bCs/>
          <w:noProof/>
          <w:szCs w:val="24"/>
        </w:rPr>
        <w:t xml:space="preserve"> odnosu na plan 202</w:t>
      </w:r>
      <w:r w:rsidR="00F311C0" w:rsidRPr="00F311C0">
        <w:rPr>
          <w:rFonts w:ascii="Times New Roman" w:hAnsi="Times New Roman"/>
          <w:bCs/>
          <w:noProof/>
          <w:szCs w:val="24"/>
        </w:rPr>
        <w:t>4</w:t>
      </w:r>
      <w:r w:rsidR="00B73B12" w:rsidRPr="00F311C0">
        <w:rPr>
          <w:rFonts w:ascii="Times New Roman" w:hAnsi="Times New Roman"/>
          <w:bCs/>
          <w:noProof/>
          <w:szCs w:val="24"/>
        </w:rPr>
        <w:t>. godine.</w:t>
      </w:r>
      <w:r w:rsidR="00971201" w:rsidRPr="00F311C0">
        <w:rPr>
          <w:rFonts w:ascii="Times New Roman" w:hAnsi="Times New Roman"/>
          <w:bCs/>
          <w:noProof/>
          <w:szCs w:val="24"/>
        </w:rPr>
        <w:t xml:space="preserve"> </w:t>
      </w:r>
      <w:r w:rsidR="00B73B12" w:rsidRPr="006951A6">
        <w:rPr>
          <w:rFonts w:ascii="Times New Roman" w:hAnsi="Times New Roman"/>
          <w:bCs/>
          <w:noProof/>
          <w:szCs w:val="24"/>
        </w:rPr>
        <w:t xml:space="preserve">Od toga je </w:t>
      </w:r>
      <w:r w:rsidR="00971201" w:rsidRPr="006951A6">
        <w:rPr>
          <w:rFonts w:ascii="Times New Roman" w:hAnsi="Times New Roman"/>
          <w:bCs/>
          <w:noProof/>
          <w:szCs w:val="24"/>
        </w:rPr>
        <w:t xml:space="preserve">Županija ostvarila </w:t>
      </w:r>
      <w:r w:rsidR="00BA4210">
        <w:rPr>
          <w:rFonts w:ascii="Times New Roman" w:hAnsi="Times New Roman"/>
          <w:bCs/>
          <w:noProof/>
          <w:szCs w:val="24"/>
        </w:rPr>
        <w:t>sljedeće pomoći:</w:t>
      </w:r>
    </w:p>
    <w:p w14:paraId="496A7179" w14:textId="77777777" w:rsidR="00A947C2" w:rsidRPr="00763BE8" w:rsidRDefault="00A947C2" w:rsidP="00D77E77">
      <w:pPr>
        <w:tabs>
          <w:tab w:val="left" w:pos="142"/>
          <w:tab w:val="left" w:pos="426"/>
          <w:tab w:val="center" w:pos="6663"/>
        </w:tabs>
        <w:spacing w:line="276" w:lineRule="auto"/>
        <w:jc w:val="both"/>
        <w:rPr>
          <w:rFonts w:ascii="Times New Roman" w:hAnsi="Times New Roman"/>
          <w:bCs/>
          <w:noProof/>
          <w:szCs w:val="24"/>
        </w:rPr>
      </w:pPr>
      <w:r w:rsidRPr="00763BE8">
        <w:rPr>
          <w:rFonts w:ascii="Times New Roman" w:hAnsi="Times New Roman"/>
          <w:bCs/>
          <w:noProof/>
          <w:szCs w:val="24"/>
        </w:rPr>
        <w:tab/>
        <w:t>-</w:t>
      </w:r>
      <w:r w:rsidRPr="00763BE8">
        <w:rPr>
          <w:rFonts w:ascii="Times New Roman" w:hAnsi="Times New Roman"/>
          <w:bCs/>
          <w:noProof/>
          <w:szCs w:val="24"/>
        </w:rPr>
        <w:tab/>
        <w:t xml:space="preserve"> Ministarstvo financija –  fiskalno izravnanje </w:t>
      </w:r>
      <w:r w:rsidR="00763BE8" w:rsidRPr="00763BE8">
        <w:rPr>
          <w:rFonts w:ascii="Times New Roman" w:hAnsi="Times New Roman"/>
          <w:bCs/>
          <w:noProof/>
          <w:szCs w:val="24"/>
        </w:rPr>
        <w:t xml:space="preserve">884.566,98 </w:t>
      </w:r>
      <w:r w:rsidR="00FD03E5" w:rsidRPr="00763BE8">
        <w:rPr>
          <w:rFonts w:ascii="Times New Roman" w:hAnsi="Times New Roman"/>
          <w:bCs/>
          <w:noProof/>
          <w:szCs w:val="24"/>
        </w:rPr>
        <w:t>€</w:t>
      </w:r>
      <w:r w:rsidRPr="00763BE8">
        <w:rPr>
          <w:rFonts w:ascii="Times New Roman" w:hAnsi="Times New Roman"/>
          <w:bCs/>
          <w:noProof/>
          <w:szCs w:val="24"/>
        </w:rPr>
        <w:t>;</w:t>
      </w:r>
    </w:p>
    <w:p w14:paraId="13900594" w14:textId="77777777" w:rsidR="00A947C2" w:rsidRPr="00763BE8" w:rsidRDefault="00A947C2" w:rsidP="00D77E77">
      <w:pPr>
        <w:pStyle w:val="ListParagraph"/>
        <w:numPr>
          <w:ilvl w:val="0"/>
          <w:numId w:val="31"/>
        </w:numPr>
        <w:tabs>
          <w:tab w:val="center" w:pos="6663"/>
        </w:tabs>
        <w:spacing w:line="276" w:lineRule="auto"/>
        <w:jc w:val="both"/>
        <w:rPr>
          <w:rFonts w:ascii="Times New Roman" w:hAnsi="Times New Roman"/>
          <w:bCs/>
          <w:noProof/>
          <w:szCs w:val="24"/>
        </w:rPr>
      </w:pPr>
      <w:r w:rsidRPr="00763BE8">
        <w:rPr>
          <w:rFonts w:ascii="Times New Roman" w:hAnsi="Times New Roman"/>
          <w:bCs/>
          <w:noProof/>
          <w:szCs w:val="24"/>
        </w:rPr>
        <w:t xml:space="preserve">Tekuće pomoći iz Državnog proračuna – povjereni poslovi Ureda državne uprave u iznosu </w:t>
      </w:r>
      <w:r w:rsidR="007B68D5" w:rsidRPr="00763BE8">
        <w:rPr>
          <w:rFonts w:ascii="Times New Roman" w:hAnsi="Times New Roman"/>
          <w:bCs/>
          <w:noProof/>
          <w:szCs w:val="24"/>
        </w:rPr>
        <w:t>630.433,50</w:t>
      </w:r>
      <w:r w:rsidRPr="00763BE8">
        <w:rPr>
          <w:rFonts w:ascii="Times New Roman" w:hAnsi="Times New Roman"/>
          <w:bCs/>
          <w:noProof/>
          <w:szCs w:val="24"/>
        </w:rPr>
        <w:t xml:space="preserve"> </w:t>
      </w:r>
      <w:r w:rsidR="00FD03E5" w:rsidRPr="00763BE8">
        <w:rPr>
          <w:rFonts w:ascii="Times New Roman" w:hAnsi="Times New Roman"/>
          <w:bCs/>
          <w:noProof/>
          <w:szCs w:val="24"/>
        </w:rPr>
        <w:t>€</w:t>
      </w:r>
      <w:r w:rsidRPr="00763BE8">
        <w:rPr>
          <w:rFonts w:ascii="Times New Roman" w:hAnsi="Times New Roman"/>
          <w:bCs/>
          <w:noProof/>
          <w:szCs w:val="24"/>
        </w:rPr>
        <w:t>;</w:t>
      </w:r>
    </w:p>
    <w:p w14:paraId="1732B158" w14:textId="77777777" w:rsidR="00FD03E5" w:rsidRPr="007779E6" w:rsidRDefault="00FD03E5" w:rsidP="00D77E77">
      <w:pPr>
        <w:pStyle w:val="ListParagraph"/>
        <w:numPr>
          <w:ilvl w:val="0"/>
          <w:numId w:val="31"/>
        </w:numPr>
        <w:tabs>
          <w:tab w:val="center" w:pos="6663"/>
        </w:tabs>
        <w:spacing w:line="276" w:lineRule="auto"/>
        <w:jc w:val="both"/>
        <w:rPr>
          <w:rFonts w:ascii="Times New Roman" w:hAnsi="Times New Roman"/>
          <w:b/>
          <w:bCs/>
          <w:noProof/>
          <w:szCs w:val="24"/>
        </w:rPr>
      </w:pPr>
      <w:r w:rsidRPr="007779E6">
        <w:rPr>
          <w:rFonts w:ascii="Times New Roman" w:hAnsi="Times New Roman"/>
          <w:bCs/>
          <w:noProof/>
          <w:szCs w:val="24"/>
        </w:rPr>
        <w:t>Ministarstvo branitelja</w:t>
      </w:r>
      <w:r w:rsidR="00BF55E5" w:rsidRPr="007779E6">
        <w:rPr>
          <w:rFonts w:ascii="Times New Roman" w:hAnsi="Times New Roman"/>
          <w:bCs/>
          <w:noProof/>
          <w:szCs w:val="24"/>
        </w:rPr>
        <w:t xml:space="preserve"> - za podmirenje troškova pogreba hrvatskih branitelja</w:t>
      </w:r>
      <w:r w:rsidRPr="007779E6">
        <w:rPr>
          <w:rFonts w:ascii="Times New Roman" w:hAnsi="Times New Roman"/>
          <w:bCs/>
          <w:noProof/>
          <w:szCs w:val="24"/>
        </w:rPr>
        <w:t xml:space="preserve"> </w:t>
      </w:r>
      <w:r w:rsidR="007779E6" w:rsidRPr="007779E6">
        <w:rPr>
          <w:rFonts w:ascii="Times New Roman" w:hAnsi="Times New Roman"/>
          <w:bCs/>
          <w:noProof/>
          <w:szCs w:val="24"/>
        </w:rPr>
        <w:t>90.341,66</w:t>
      </w:r>
      <w:r w:rsidRPr="007779E6">
        <w:rPr>
          <w:rFonts w:ascii="Times New Roman" w:hAnsi="Times New Roman"/>
          <w:bCs/>
          <w:noProof/>
          <w:szCs w:val="24"/>
        </w:rPr>
        <w:t xml:space="preserve"> €</w:t>
      </w:r>
      <w:r w:rsidR="00511393" w:rsidRPr="007779E6">
        <w:rPr>
          <w:rFonts w:ascii="Times New Roman" w:hAnsi="Times New Roman"/>
          <w:bCs/>
          <w:noProof/>
          <w:szCs w:val="24"/>
        </w:rPr>
        <w:t>;</w:t>
      </w:r>
      <w:r w:rsidR="00E43D94" w:rsidRPr="007779E6">
        <w:rPr>
          <w:rFonts w:ascii="Times New Roman" w:hAnsi="Times New Roman"/>
          <w:bCs/>
          <w:noProof/>
          <w:szCs w:val="24"/>
        </w:rPr>
        <w:t xml:space="preserve"> </w:t>
      </w:r>
      <w:r w:rsidR="00740ADF" w:rsidRPr="007779E6">
        <w:rPr>
          <w:rFonts w:ascii="Times New Roman" w:hAnsi="Times New Roman"/>
          <w:bCs/>
          <w:noProof/>
          <w:szCs w:val="24"/>
        </w:rPr>
        <w:t xml:space="preserve"> </w:t>
      </w:r>
    </w:p>
    <w:p w14:paraId="0ECA47C0" w14:textId="77777777" w:rsidR="00FD03E5" w:rsidRPr="008222E3" w:rsidRDefault="00FD03E5" w:rsidP="00D77E77">
      <w:pPr>
        <w:pStyle w:val="ListParagraph"/>
        <w:numPr>
          <w:ilvl w:val="0"/>
          <w:numId w:val="31"/>
        </w:numPr>
        <w:tabs>
          <w:tab w:val="center" w:pos="6663"/>
        </w:tabs>
        <w:spacing w:line="276" w:lineRule="auto"/>
        <w:jc w:val="both"/>
        <w:rPr>
          <w:rFonts w:ascii="Times New Roman" w:hAnsi="Times New Roman"/>
          <w:bCs/>
          <w:noProof/>
          <w:szCs w:val="24"/>
        </w:rPr>
      </w:pPr>
      <w:r w:rsidRPr="008222E3">
        <w:rPr>
          <w:rFonts w:ascii="Times New Roman" w:hAnsi="Times New Roman"/>
          <w:bCs/>
          <w:noProof/>
          <w:szCs w:val="24"/>
        </w:rPr>
        <w:t>Ministarstvo znanosti, obrazovanja i športa</w:t>
      </w:r>
      <w:r w:rsidR="00BA1982" w:rsidRPr="008222E3">
        <w:rPr>
          <w:rFonts w:ascii="Times New Roman" w:hAnsi="Times New Roman"/>
          <w:bCs/>
          <w:noProof/>
          <w:szCs w:val="24"/>
        </w:rPr>
        <w:t>- za prijevoz učenika SŠ</w:t>
      </w:r>
      <w:r w:rsidRPr="008222E3">
        <w:rPr>
          <w:rFonts w:ascii="Times New Roman" w:hAnsi="Times New Roman"/>
          <w:bCs/>
          <w:noProof/>
          <w:szCs w:val="24"/>
        </w:rPr>
        <w:t xml:space="preserve">  </w:t>
      </w:r>
      <w:r w:rsidR="008222E3" w:rsidRPr="008222E3">
        <w:rPr>
          <w:rFonts w:ascii="Times New Roman" w:hAnsi="Times New Roman"/>
          <w:bCs/>
          <w:noProof/>
          <w:szCs w:val="24"/>
        </w:rPr>
        <w:t xml:space="preserve">128.141,82 </w:t>
      </w:r>
      <w:r w:rsidRPr="008222E3">
        <w:rPr>
          <w:rFonts w:ascii="Times New Roman" w:hAnsi="Times New Roman"/>
          <w:bCs/>
          <w:noProof/>
          <w:szCs w:val="24"/>
        </w:rPr>
        <w:t>€</w:t>
      </w:r>
      <w:r w:rsidR="00744974" w:rsidRPr="008222E3">
        <w:rPr>
          <w:rFonts w:ascii="Times New Roman" w:hAnsi="Times New Roman"/>
          <w:bCs/>
          <w:noProof/>
          <w:szCs w:val="24"/>
        </w:rPr>
        <w:t>;</w:t>
      </w:r>
    </w:p>
    <w:p w14:paraId="012F4EDF" w14:textId="77777777" w:rsidR="00A947C2" w:rsidRPr="008222E3" w:rsidRDefault="00FD03E5" w:rsidP="008222E3">
      <w:pPr>
        <w:pStyle w:val="ListParagraph"/>
        <w:numPr>
          <w:ilvl w:val="0"/>
          <w:numId w:val="31"/>
        </w:numPr>
        <w:tabs>
          <w:tab w:val="center" w:pos="6663"/>
        </w:tabs>
        <w:spacing w:line="276" w:lineRule="auto"/>
        <w:jc w:val="both"/>
        <w:rPr>
          <w:rFonts w:ascii="Times New Roman" w:hAnsi="Times New Roman"/>
          <w:b/>
          <w:bCs/>
          <w:noProof/>
          <w:szCs w:val="24"/>
        </w:rPr>
      </w:pPr>
      <w:r w:rsidRPr="008222E3">
        <w:rPr>
          <w:rFonts w:ascii="Times New Roman" w:hAnsi="Times New Roman"/>
          <w:bCs/>
          <w:noProof/>
          <w:szCs w:val="24"/>
        </w:rPr>
        <w:t>Tekuće pomoći iz Državnog proračuna</w:t>
      </w:r>
      <w:r w:rsidRPr="008222E3">
        <w:rPr>
          <w:rFonts w:ascii="Times New Roman" w:hAnsi="Times New Roman"/>
          <w:b/>
          <w:bCs/>
          <w:noProof/>
          <w:szCs w:val="24"/>
        </w:rPr>
        <w:t xml:space="preserve"> </w:t>
      </w:r>
      <w:r w:rsidRPr="008222E3">
        <w:rPr>
          <w:rFonts w:ascii="Times New Roman" w:hAnsi="Times New Roman"/>
          <w:bCs/>
          <w:noProof/>
          <w:szCs w:val="24"/>
        </w:rPr>
        <w:t>–</w:t>
      </w:r>
      <w:r w:rsidR="008222E3">
        <w:rPr>
          <w:rFonts w:ascii="Times New Roman" w:hAnsi="Times New Roman"/>
          <w:bCs/>
          <w:noProof/>
          <w:szCs w:val="24"/>
        </w:rPr>
        <w:t xml:space="preserve"> </w:t>
      </w:r>
      <w:r w:rsidR="00744974" w:rsidRPr="008222E3">
        <w:rPr>
          <w:rFonts w:ascii="Times New Roman" w:hAnsi="Times New Roman"/>
          <w:bCs/>
          <w:noProof/>
          <w:szCs w:val="24"/>
        </w:rPr>
        <w:t xml:space="preserve"> Projekt</w:t>
      </w:r>
      <w:r w:rsidR="00FA7CAC" w:rsidRPr="008222E3">
        <w:rPr>
          <w:rFonts w:ascii="Times New Roman" w:hAnsi="Times New Roman"/>
          <w:bCs/>
          <w:noProof/>
          <w:szCs w:val="24"/>
        </w:rPr>
        <w:t>“</w:t>
      </w:r>
      <w:r w:rsidR="00744974" w:rsidRPr="008222E3">
        <w:rPr>
          <w:rFonts w:ascii="Times New Roman" w:hAnsi="Times New Roman"/>
          <w:bCs/>
          <w:noProof/>
          <w:szCs w:val="24"/>
        </w:rPr>
        <w:t xml:space="preserve"> </w:t>
      </w:r>
      <w:r w:rsidR="00FA7CAC" w:rsidRPr="008222E3">
        <w:rPr>
          <w:rFonts w:ascii="Times New Roman" w:hAnsi="Times New Roman"/>
          <w:bCs/>
          <w:noProof/>
          <w:szCs w:val="24"/>
        </w:rPr>
        <w:t>P</w:t>
      </w:r>
      <w:r w:rsidRPr="008222E3">
        <w:rPr>
          <w:rFonts w:ascii="Times New Roman" w:hAnsi="Times New Roman"/>
          <w:bCs/>
          <w:noProof/>
          <w:szCs w:val="24"/>
        </w:rPr>
        <w:t>omoćnici</w:t>
      </w:r>
      <w:r w:rsidR="00FA7CAC" w:rsidRPr="008222E3">
        <w:rPr>
          <w:rFonts w:ascii="Times New Roman" w:hAnsi="Times New Roman"/>
          <w:bCs/>
          <w:noProof/>
          <w:szCs w:val="24"/>
        </w:rPr>
        <w:t xml:space="preserve"> u nastavi</w:t>
      </w:r>
      <w:r w:rsidRPr="008222E3">
        <w:rPr>
          <w:rFonts w:ascii="Times New Roman" w:hAnsi="Times New Roman"/>
          <w:bCs/>
          <w:noProof/>
          <w:szCs w:val="24"/>
        </w:rPr>
        <w:t xml:space="preserve"> faza V</w:t>
      </w:r>
      <w:r w:rsidR="008222E3">
        <w:rPr>
          <w:rFonts w:ascii="Times New Roman" w:hAnsi="Times New Roman"/>
          <w:bCs/>
          <w:noProof/>
          <w:szCs w:val="24"/>
        </w:rPr>
        <w:t>I</w:t>
      </w:r>
      <w:r w:rsidR="00FA7CAC" w:rsidRPr="008222E3">
        <w:rPr>
          <w:rFonts w:ascii="Times New Roman" w:hAnsi="Times New Roman"/>
          <w:bCs/>
          <w:noProof/>
          <w:szCs w:val="24"/>
        </w:rPr>
        <w:t>"</w:t>
      </w:r>
      <w:r w:rsidRPr="008222E3">
        <w:rPr>
          <w:rFonts w:ascii="Times New Roman" w:hAnsi="Times New Roman"/>
          <w:bCs/>
          <w:noProof/>
          <w:szCs w:val="24"/>
        </w:rPr>
        <w:t xml:space="preserve"> </w:t>
      </w:r>
      <w:r w:rsidR="00FA7523" w:rsidRPr="008222E3">
        <w:rPr>
          <w:rFonts w:ascii="Times New Roman" w:hAnsi="Times New Roman"/>
          <w:bCs/>
          <w:noProof/>
          <w:szCs w:val="24"/>
        </w:rPr>
        <w:t xml:space="preserve"> </w:t>
      </w:r>
      <w:r w:rsidR="008222E3" w:rsidRPr="008222E3">
        <w:rPr>
          <w:rFonts w:ascii="Times New Roman" w:hAnsi="Times New Roman"/>
          <w:bCs/>
          <w:noProof/>
          <w:szCs w:val="24"/>
        </w:rPr>
        <w:t>15.450,00</w:t>
      </w:r>
      <w:r w:rsidR="002C6236" w:rsidRPr="008222E3">
        <w:rPr>
          <w:rFonts w:ascii="Times New Roman" w:hAnsi="Times New Roman"/>
          <w:bCs/>
          <w:noProof/>
          <w:szCs w:val="24"/>
        </w:rPr>
        <w:t xml:space="preserve"> </w:t>
      </w:r>
      <w:r w:rsidRPr="008222E3">
        <w:rPr>
          <w:rFonts w:ascii="Times New Roman" w:hAnsi="Times New Roman"/>
          <w:bCs/>
          <w:noProof/>
          <w:szCs w:val="24"/>
        </w:rPr>
        <w:t>€</w:t>
      </w:r>
      <w:r w:rsidR="00744974" w:rsidRPr="008222E3">
        <w:rPr>
          <w:rFonts w:ascii="Times New Roman" w:hAnsi="Times New Roman"/>
          <w:bCs/>
          <w:noProof/>
          <w:szCs w:val="24"/>
        </w:rPr>
        <w:t>;</w:t>
      </w:r>
    </w:p>
    <w:p w14:paraId="0EF16462" w14:textId="7E4E5BC9" w:rsidR="00744974" w:rsidRPr="00DB2772" w:rsidRDefault="00744974" w:rsidP="00D77E77">
      <w:pPr>
        <w:pStyle w:val="ListParagraph"/>
        <w:tabs>
          <w:tab w:val="center" w:pos="6663"/>
        </w:tabs>
        <w:spacing w:line="276" w:lineRule="auto"/>
        <w:ind w:left="502"/>
        <w:jc w:val="both"/>
        <w:rPr>
          <w:rFonts w:ascii="Times New Roman" w:hAnsi="Times New Roman"/>
          <w:b/>
          <w:bCs/>
          <w:noProof/>
          <w:szCs w:val="24"/>
        </w:rPr>
      </w:pPr>
      <w:r w:rsidRPr="00DB2772">
        <w:rPr>
          <w:rFonts w:ascii="Times New Roman" w:hAnsi="Times New Roman"/>
          <w:bCs/>
          <w:noProof/>
          <w:szCs w:val="24"/>
        </w:rPr>
        <w:t>Tekuće pomoći iz Državnog proračuna</w:t>
      </w:r>
      <w:r w:rsidRPr="00DB2772">
        <w:rPr>
          <w:rFonts w:ascii="Times New Roman" w:hAnsi="Times New Roman"/>
          <w:b/>
          <w:bCs/>
          <w:noProof/>
          <w:szCs w:val="24"/>
        </w:rPr>
        <w:t xml:space="preserve"> – </w:t>
      </w:r>
      <w:r w:rsidRPr="00DB2772">
        <w:rPr>
          <w:rFonts w:ascii="Times New Roman" w:hAnsi="Times New Roman"/>
          <w:bCs/>
          <w:noProof/>
          <w:szCs w:val="24"/>
        </w:rPr>
        <w:t xml:space="preserve">Projekt školski obrok za sve </w:t>
      </w:r>
      <w:r w:rsidR="00DB2772" w:rsidRPr="00DB2772">
        <w:rPr>
          <w:rFonts w:ascii="Times New Roman" w:hAnsi="Times New Roman"/>
          <w:bCs/>
          <w:noProof/>
          <w:szCs w:val="24"/>
        </w:rPr>
        <w:t>35</w:t>
      </w:r>
      <w:r w:rsidR="00852A5D">
        <w:rPr>
          <w:rFonts w:ascii="Times New Roman" w:hAnsi="Times New Roman"/>
          <w:bCs/>
          <w:noProof/>
          <w:szCs w:val="24"/>
        </w:rPr>
        <w:t>5</w:t>
      </w:r>
      <w:r w:rsidR="00DB2772" w:rsidRPr="00DB2772">
        <w:rPr>
          <w:rFonts w:ascii="Times New Roman" w:hAnsi="Times New Roman"/>
          <w:bCs/>
          <w:noProof/>
          <w:szCs w:val="24"/>
        </w:rPr>
        <w:t>,23</w:t>
      </w:r>
      <w:r w:rsidRPr="00DB2772">
        <w:rPr>
          <w:rFonts w:ascii="Times New Roman" w:hAnsi="Times New Roman"/>
          <w:bCs/>
          <w:noProof/>
          <w:szCs w:val="24"/>
        </w:rPr>
        <w:t xml:space="preserve"> €;</w:t>
      </w:r>
    </w:p>
    <w:p w14:paraId="5DA4ACE3" w14:textId="77777777" w:rsidR="00744974" w:rsidRPr="00DB2772" w:rsidRDefault="00744974" w:rsidP="00D77E77">
      <w:pPr>
        <w:pStyle w:val="ListParagraph"/>
        <w:numPr>
          <w:ilvl w:val="0"/>
          <w:numId w:val="31"/>
        </w:numPr>
        <w:tabs>
          <w:tab w:val="center" w:pos="6663"/>
        </w:tabs>
        <w:spacing w:line="276" w:lineRule="auto"/>
        <w:jc w:val="both"/>
        <w:rPr>
          <w:rFonts w:ascii="Times New Roman" w:hAnsi="Times New Roman"/>
          <w:b/>
          <w:bCs/>
          <w:noProof/>
          <w:szCs w:val="24"/>
        </w:rPr>
      </w:pPr>
      <w:r w:rsidRPr="00DB2772">
        <w:rPr>
          <w:rFonts w:ascii="Times New Roman" w:hAnsi="Times New Roman"/>
          <w:bCs/>
          <w:noProof/>
          <w:szCs w:val="24"/>
        </w:rPr>
        <w:t>Tekuće pomoći iz Državnog proračuna</w:t>
      </w:r>
      <w:r w:rsidRPr="00DB2772">
        <w:rPr>
          <w:rFonts w:ascii="Times New Roman" w:hAnsi="Times New Roman"/>
          <w:b/>
          <w:bCs/>
          <w:noProof/>
          <w:szCs w:val="24"/>
        </w:rPr>
        <w:t xml:space="preserve"> – </w:t>
      </w:r>
      <w:r w:rsidR="00DB2772" w:rsidRPr="00DB2772">
        <w:rPr>
          <w:rFonts w:ascii="Times New Roman" w:hAnsi="Times New Roman"/>
          <w:bCs/>
          <w:noProof/>
          <w:szCs w:val="24"/>
        </w:rPr>
        <w:t>školski medni dan</w:t>
      </w:r>
      <w:r w:rsidR="00AC5E12" w:rsidRPr="00DB2772">
        <w:rPr>
          <w:rFonts w:ascii="Times New Roman" w:hAnsi="Times New Roman"/>
          <w:bCs/>
          <w:noProof/>
          <w:szCs w:val="24"/>
        </w:rPr>
        <w:t xml:space="preserve"> </w:t>
      </w:r>
      <w:r w:rsidR="00DB2772" w:rsidRPr="00DB2772">
        <w:rPr>
          <w:rFonts w:ascii="Times New Roman" w:hAnsi="Times New Roman"/>
          <w:bCs/>
          <w:noProof/>
          <w:szCs w:val="24"/>
        </w:rPr>
        <w:t xml:space="preserve">8,00 </w:t>
      </w:r>
      <w:r w:rsidR="00AC5E12" w:rsidRPr="00DB2772">
        <w:rPr>
          <w:rFonts w:ascii="Times New Roman" w:hAnsi="Times New Roman"/>
          <w:bCs/>
          <w:noProof/>
          <w:szCs w:val="24"/>
        </w:rPr>
        <w:t>€;</w:t>
      </w:r>
    </w:p>
    <w:p w14:paraId="11896908" w14:textId="2E6FB4B3" w:rsidR="00DB2772" w:rsidRPr="00DB2772" w:rsidRDefault="00A42609" w:rsidP="00D77E77">
      <w:pPr>
        <w:pStyle w:val="ListParagraph"/>
        <w:numPr>
          <w:ilvl w:val="0"/>
          <w:numId w:val="31"/>
        </w:numPr>
        <w:tabs>
          <w:tab w:val="center" w:pos="6663"/>
        </w:tabs>
        <w:spacing w:line="276" w:lineRule="auto"/>
        <w:jc w:val="both"/>
        <w:rPr>
          <w:rFonts w:ascii="Times New Roman" w:hAnsi="Times New Roman"/>
          <w:b/>
          <w:bCs/>
          <w:noProof/>
          <w:szCs w:val="24"/>
        </w:rPr>
      </w:pPr>
      <w:r>
        <w:rPr>
          <w:rFonts w:ascii="Times New Roman" w:hAnsi="Times New Roman"/>
          <w:bCs/>
          <w:noProof/>
          <w:szCs w:val="24"/>
        </w:rPr>
        <w:t xml:space="preserve">Ministarstvo mora, prometa i </w:t>
      </w:r>
      <w:r w:rsidR="00072611">
        <w:rPr>
          <w:rFonts w:ascii="Times New Roman" w:hAnsi="Times New Roman"/>
          <w:bCs/>
          <w:noProof/>
          <w:szCs w:val="24"/>
        </w:rPr>
        <w:t>infrastrukture</w:t>
      </w:r>
      <w:r w:rsidR="00744974" w:rsidRPr="00DB2772">
        <w:rPr>
          <w:rFonts w:ascii="Times New Roman" w:hAnsi="Times New Roman"/>
          <w:b/>
          <w:bCs/>
          <w:noProof/>
          <w:szCs w:val="24"/>
        </w:rPr>
        <w:t xml:space="preserve"> </w:t>
      </w:r>
      <w:r w:rsidR="00CC2B35" w:rsidRPr="00DB2772">
        <w:rPr>
          <w:rFonts w:ascii="Times New Roman" w:hAnsi="Times New Roman"/>
          <w:b/>
          <w:bCs/>
          <w:noProof/>
          <w:szCs w:val="24"/>
        </w:rPr>
        <w:t>–</w:t>
      </w:r>
      <w:r w:rsidR="00DB2772" w:rsidRPr="00DB2772">
        <w:rPr>
          <w:rFonts w:ascii="Times New Roman" w:hAnsi="Times New Roman"/>
          <w:bCs/>
          <w:noProof/>
          <w:szCs w:val="24"/>
        </w:rPr>
        <w:t xml:space="preserve"> prijevoz putnika u cestovnom prometu 1.181.882,</w:t>
      </w:r>
      <w:r w:rsidR="004F4FC0">
        <w:rPr>
          <w:rFonts w:ascii="Times New Roman" w:hAnsi="Times New Roman"/>
          <w:bCs/>
          <w:noProof/>
          <w:szCs w:val="24"/>
        </w:rPr>
        <w:t>6</w:t>
      </w:r>
      <w:r w:rsidR="00DB2772" w:rsidRPr="00DB2772">
        <w:rPr>
          <w:rFonts w:ascii="Times New Roman" w:hAnsi="Times New Roman"/>
          <w:bCs/>
          <w:noProof/>
          <w:szCs w:val="24"/>
        </w:rPr>
        <w:t>6 €</w:t>
      </w:r>
      <w:r>
        <w:rPr>
          <w:rFonts w:ascii="Times New Roman" w:hAnsi="Times New Roman"/>
          <w:bCs/>
          <w:noProof/>
          <w:szCs w:val="24"/>
        </w:rPr>
        <w:t>;</w:t>
      </w:r>
    </w:p>
    <w:p w14:paraId="5F8F0A8E" w14:textId="402B8917" w:rsidR="00CC2B35" w:rsidRPr="00D47A10" w:rsidRDefault="00CC2B35" w:rsidP="00DB2772">
      <w:pPr>
        <w:pStyle w:val="ListParagraph"/>
        <w:numPr>
          <w:ilvl w:val="0"/>
          <w:numId w:val="31"/>
        </w:numPr>
        <w:tabs>
          <w:tab w:val="center" w:pos="6663"/>
        </w:tabs>
        <w:spacing w:line="276" w:lineRule="auto"/>
        <w:jc w:val="both"/>
        <w:rPr>
          <w:rFonts w:ascii="Times New Roman" w:hAnsi="Times New Roman"/>
          <w:b/>
          <w:bCs/>
          <w:noProof/>
          <w:szCs w:val="24"/>
        </w:rPr>
      </w:pPr>
      <w:r w:rsidRPr="005D4B99">
        <w:rPr>
          <w:rFonts w:ascii="Times New Roman" w:hAnsi="Times New Roman"/>
          <w:bCs/>
          <w:noProof/>
          <w:szCs w:val="24"/>
        </w:rPr>
        <w:t>Kapitalne pomoći iz Državnog proračuna</w:t>
      </w:r>
      <w:r w:rsidRPr="005D4B99">
        <w:rPr>
          <w:rFonts w:ascii="Times New Roman" w:hAnsi="Times New Roman"/>
          <w:b/>
          <w:bCs/>
          <w:noProof/>
          <w:szCs w:val="24"/>
        </w:rPr>
        <w:t xml:space="preserve"> –</w:t>
      </w:r>
      <w:r w:rsidR="005D4B99">
        <w:rPr>
          <w:rFonts w:ascii="Times New Roman" w:hAnsi="Times New Roman"/>
          <w:b/>
          <w:bCs/>
          <w:noProof/>
          <w:szCs w:val="24"/>
        </w:rPr>
        <w:t xml:space="preserve">  </w:t>
      </w:r>
      <w:r w:rsidR="005D4B99">
        <w:rPr>
          <w:rFonts w:ascii="Times New Roman" w:hAnsi="Times New Roman"/>
          <w:bCs/>
          <w:noProof/>
          <w:szCs w:val="24"/>
        </w:rPr>
        <w:t xml:space="preserve">opremanje i </w:t>
      </w:r>
      <w:r w:rsidRPr="005D4B99">
        <w:rPr>
          <w:rFonts w:ascii="Times New Roman" w:hAnsi="Times New Roman"/>
          <w:b/>
          <w:bCs/>
          <w:noProof/>
          <w:szCs w:val="24"/>
        </w:rPr>
        <w:t xml:space="preserve"> </w:t>
      </w:r>
      <w:r w:rsidR="005D4B99">
        <w:rPr>
          <w:rFonts w:ascii="Times New Roman" w:hAnsi="Times New Roman"/>
          <w:bCs/>
          <w:noProof/>
          <w:szCs w:val="24"/>
        </w:rPr>
        <w:t>uspostava cjelodnevne škole OŠ Mate Lovraka veliki Grđevac</w:t>
      </w:r>
      <w:r w:rsidR="00CD5950">
        <w:rPr>
          <w:rFonts w:ascii="Times New Roman" w:hAnsi="Times New Roman"/>
          <w:bCs/>
          <w:noProof/>
          <w:szCs w:val="24"/>
        </w:rPr>
        <w:t xml:space="preserve"> – 73.492,86 €</w:t>
      </w:r>
      <w:r w:rsidR="00D47A10">
        <w:rPr>
          <w:rFonts w:ascii="Times New Roman" w:hAnsi="Times New Roman"/>
          <w:bCs/>
          <w:noProof/>
          <w:szCs w:val="24"/>
        </w:rPr>
        <w:t>;</w:t>
      </w:r>
    </w:p>
    <w:p w14:paraId="52C2C4B0" w14:textId="6136FF0F" w:rsidR="00D47A10" w:rsidRPr="00A42609" w:rsidRDefault="00D47A10" w:rsidP="00DB2772">
      <w:pPr>
        <w:pStyle w:val="ListParagraph"/>
        <w:numPr>
          <w:ilvl w:val="0"/>
          <w:numId w:val="31"/>
        </w:numPr>
        <w:tabs>
          <w:tab w:val="center" w:pos="6663"/>
        </w:tabs>
        <w:spacing w:line="276" w:lineRule="auto"/>
        <w:jc w:val="both"/>
        <w:rPr>
          <w:rFonts w:ascii="Times New Roman" w:hAnsi="Times New Roman"/>
          <w:b/>
          <w:bCs/>
          <w:noProof/>
          <w:szCs w:val="24"/>
        </w:rPr>
      </w:pPr>
      <w:r>
        <w:rPr>
          <w:rFonts w:ascii="Times New Roman" w:hAnsi="Times New Roman"/>
          <w:bCs/>
          <w:noProof/>
          <w:szCs w:val="24"/>
        </w:rPr>
        <w:t xml:space="preserve">Tekuće pomoći izravnanja za decentralizirane funkcije </w:t>
      </w:r>
      <w:r w:rsidRPr="00DB2772">
        <w:rPr>
          <w:rFonts w:ascii="Times New Roman" w:hAnsi="Times New Roman"/>
          <w:b/>
          <w:bCs/>
          <w:noProof/>
          <w:szCs w:val="24"/>
        </w:rPr>
        <w:t>–</w:t>
      </w:r>
      <w:r>
        <w:rPr>
          <w:rFonts w:ascii="Times New Roman" w:hAnsi="Times New Roman"/>
          <w:bCs/>
          <w:noProof/>
          <w:szCs w:val="24"/>
        </w:rPr>
        <w:t xml:space="preserve"> 2.089.826,33 €.</w:t>
      </w:r>
    </w:p>
    <w:p w14:paraId="0D94E1B3" w14:textId="77777777" w:rsidR="00A42609" w:rsidRPr="00C6045E" w:rsidRDefault="00A42609" w:rsidP="00300B97">
      <w:pPr>
        <w:pStyle w:val="ListParagraph"/>
        <w:tabs>
          <w:tab w:val="center" w:pos="6663"/>
        </w:tabs>
        <w:spacing w:line="276" w:lineRule="auto"/>
        <w:ind w:left="142"/>
        <w:jc w:val="both"/>
        <w:rPr>
          <w:rFonts w:ascii="Times New Roman" w:hAnsi="Times New Roman"/>
          <w:bCs/>
          <w:noProof/>
          <w:szCs w:val="24"/>
        </w:rPr>
      </w:pPr>
    </w:p>
    <w:p w14:paraId="23A34A06" w14:textId="367EAC90" w:rsidR="006A1420" w:rsidRPr="00C6045E" w:rsidRDefault="004B1355" w:rsidP="00353508">
      <w:pPr>
        <w:pStyle w:val="NoSpacing"/>
        <w:tabs>
          <w:tab w:val="left" w:pos="851"/>
        </w:tabs>
        <w:spacing w:line="36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  <w:r w:rsidRPr="00C6045E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lastRenderedPageBreak/>
        <w:tab/>
      </w:r>
      <w:r w:rsidR="00C6045E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 xml:space="preserve"> </w:t>
      </w:r>
      <w:r w:rsidR="00426563" w:rsidRPr="00C6045E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>Povećanje t</w:t>
      </w:r>
      <w:r w:rsidR="00A42609" w:rsidRPr="00C6045E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>ekuć</w:t>
      </w:r>
      <w:r w:rsidR="00426563" w:rsidRPr="00C6045E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 xml:space="preserve">ih </w:t>
      </w:r>
      <w:r w:rsidR="00A42609" w:rsidRPr="00C6045E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 xml:space="preserve">pomoći </w:t>
      </w:r>
      <w:r w:rsidR="00426563" w:rsidRPr="00C6045E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>od izvanproračunskih korisnika</w:t>
      </w:r>
      <w:r w:rsidR="006A1420" w:rsidRPr="00C6045E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 xml:space="preserve"> u odnosu na promatrano razdoblje prošle godine </w:t>
      </w:r>
      <w:r w:rsidR="004C791C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 xml:space="preserve">u iznosu 56,08% </w:t>
      </w:r>
      <w:r w:rsidR="006A1420" w:rsidRPr="00C6045E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>odnosi se na doznačena sredstva Zavodu za hitnu medicinu za isplatu Covid dodatka, odnosno privremenog dodatka po Odluci Vlade RH.</w:t>
      </w:r>
    </w:p>
    <w:p w14:paraId="63381816" w14:textId="4E7B63AA" w:rsidR="005A4553" w:rsidRPr="008000A8" w:rsidRDefault="00DE2340" w:rsidP="008000A8">
      <w:pPr>
        <w:pStyle w:val="NoSpacing"/>
        <w:tabs>
          <w:tab w:val="left" w:pos="851"/>
        </w:tabs>
        <w:spacing w:line="36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  <w:r>
        <w:rPr>
          <w:rFonts w:ascii="Times New Roman" w:hAnsi="Times New Roman"/>
          <w:b/>
          <w:bCs/>
          <w:noProof/>
          <w:szCs w:val="24"/>
        </w:rPr>
        <w:tab/>
      </w:r>
      <w:r w:rsidRPr="00A0652D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 xml:space="preserve">Tekuće pomoći </w:t>
      </w:r>
      <w:r w:rsidR="00FD3791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>proračunskim</w:t>
      </w:r>
      <w:r w:rsidRPr="00A0652D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 xml:space="preserve"> korisnicima iz proračuna koji im nije nadležan ostvarene su u iznosu od 20.549.</w:t>
      </w:r>
      <w:r w:rsidR="004C791C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>765,78</w:t>
      </w:r>
      <w:r w:rsidRPr="00A0652D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 xml:space="preserve"> €</w:t>
      </w:r>
      <w:r w:rsidR="00A30E18" w:rsidRPr="00A0652D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 xml:space="preserve"> i najvećim dijelom odnose se na pomoći Ministarstva znanosti i obrazovanja za rashode zaposlenih kod korisnika u osnovnom i srednjem školstvu, sufinanciranje produženog boravka u školi </w:t>
      </w:r>
      <w:r w:rsidR="001D1795" w:rsidRPr="00A0652D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 xml:space="preserve">i financiranje </w:t>
      </w:r>
      <w:r w:rsidR="00A30E18" w:rsidRPr="00A0652D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>predškole</w:t>
      </w:r>
      <w:r w:rsidR="006B48AE" w:rsidRPr="00A0652D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>, dok se kapitalne pomoći odnose na sredstva za  nabavu udžbenika kod korisnik</w:t>
      </w:r>
      <w:r w:rsidR="0029780C" w:rsidRPr="00A0652D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>a</w:t>
      </w:r>
      <w:r w:rsidR="006B48AE" w:rsidRPr="00A0652D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 xml:space="preserve"> u osnovnom i srednjem školstvu te projekcijskog</w:t>
      </w:r>
      <w:r w:rsidR="00F93965" w:rsidRPr="00A0652D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 xml:space="preserve"> platna u OŠ Đulovac</w:t>
      </w:r>
      <w:r w:rsidR="00375671" w:rsidRPr="00A0652D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>.</w:t>
      </w:r>
      <w:r w:rsidRPr="00A0652D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ab/>
      </w:r>
      <w:r w:rsidRPr="00A0652D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ab/>
      </w:r>
    </w:p>
    <w:p w14:paraId="1F6A74D1" w14:textId="69892C75" w:rsidR="00F31BA3" w:rsidRPr="008000A8" w:rsidRDefault="00763C4A" w:rsidP="00874240">
      <w:pPr>
        <w:tabs>
          <w:tab w:val="left" w:pos="851"/>
          <w:tab w:val="center" w:pos="6663"/>
        </w:tabs>
        <w:spacing w:line="360" w:lineRule="auto"/>
        <w:jc w:val="both"/>
        <w:rPr>
          <w:rFonts w:ascii="Times New Roman" w:hAnsi="Times New Roman"/>
          <w:noProof/>
          <w:szCs w:val="24"/>
        </w:rPr>
      </w:pPr>
      <w:r w:rsidRPr="00435431">
        <w:rPr>
          <w:rFonts w:ascii="Times New Roman" w:hAnsi="Times New Roman"/>
          <w:bCs/>
          <w:noProof/>
          <w:szCs w:val="24"/>
        </w:rPr>
        <w:tab/>
      </w:r>
      <w:r w:rsidR="00905438" w:rsidRPr="004C2448">
        <w:rPr>
          <w:rFonts w:ascii="Times New Roman" w:hAnsi="Times New Roman"/>
          <w:noProof/>
          <w:szCs w:val="24"/>
        </w:rPr>
        <w:t>Bjelovarsko-b</w:t>
      </w:r>
      <w:r w:rsidR="002B0B4C" w:rsidRPr="004C2448">
        <w:rPr>
          <w:rFonts w:ascii="Times New Roman" w:hAnsi="Times New Roman"/>
          <w:noProof/>
          <w:szCs w:val="24"/>
        </w:rPr>
        <w:t xml:space="preserve">ilogorska županija ostvarila je </w:t>
      </w:r>
      <w:r w:rsidR="002D1AD9" w:rsidRPr="004C2448">
        <w:rPr>
          <w:rFonts w:ascii="Times New Roman" w:hAnsi="Times New Roman"/>
          <w:noProof/>
          <w:szCs w:val="24"/>
        </w:rPr>
        <w:t>pomoći</w:t>
      </w:r>
      <w:r w:rsidR="002B0B4C" w:rsidRPr="004C2448">
        <w:rPr>
          <w:rFonts w:ascii="Times New Roman" w:hAnsi="Times New Roman"/>
          <w:noProof/>
          <w:szCs w:val="24"/>
        </w:rPr>
        <w:t xml:space="preserve"> za </w:t>
      </w:r>
      <w:r w:rsidR="004C2448">
        <w:rPr>
          <w:rFonts w:ascii="Times New Roman" w:hAnsi="Times New Roman"/>
          <w:noProof/>
          <w:szCs w:val="24"/>
        </w:rPr>
        <w:t>p</w:t>
      </w:r>
      <w:r w:rsidR="00B22521" w:rsidRPr="00A33C67">
        <w:rPr>
          <w:rFonts w:ascii="Times New Roman" w:hAnsi="Times New Roman"/>
          <w:bCs/>
          <w:noProof/>
          <w:szCs w:val="24"/>
        </w:rPr>
        <w:t xml:space="preserve">rojekt „Školski obrok za sve“ </w:t>
      </w:r>
      <w:r w:rsidR="004C2448">
        <w:rPr>
          <w:rFonts w:ascii="Times New Roman" w:hAnsi="Times New Roman"/>
          <w:bCs/>
          <w:noProof/>
          <w:szCs w:val="24"/>
        </w:rPr>
        <w:t xml:space="preserve">u iznosu od </w:t>
      </w:r>
      <w:r w:rsidR="00A33C67">
        <w:rPr>
          <w:rFonts w:ascii="Times New Roman" w:hAnsi="Times New Roman"/>
          <w:bCs/>
          <w:noProof/>
          <w:szCs w:val="24"/>
        </w:rPr>
        <w:t>2.012,99 €</w:t>
      </w:r>
      <w:r w:rsidR="004C2448">
        <w:rPr>
          <w:rFonts w:ascii="Times New Roman" w:hAnsi="Times New Roman"/>
          <w:bCs/>
          <w:noProof/>
          <w:szCs w:val="24"/>
        </w:rPr>
        <w:t xml:space="preserve">, </w:t>
      </w:r>
      <w:r w:rsidR="004C2448">
        <w:rPr>
          <w:rFonts w:ascii="Times New Roman" w:hAnsi="Times New Roman"/>
          <w:noProof/>
          <w:szCs w:val="24"/>
        </w:rPr>
        <w:t>p</w:t>
      </w:r>
      <w:r w:rsidR="00B22521" w:rsidRPr="00643A73">
        <w:rPr>
          <w:rFonts w:ascii="Times New Roman" w:hAnsi="Times New Roman"/>
          <w:bCs/>
          <w:noProof/>
          <w:szCs w:val="24"/>
        </w:rPr>
        <w:t>rojekt “Pomoćnici u nastavi faza V</w:t>
      </w:r>
      <w:r w:rsidR="005A2337" w:rsidRPr="00643A73">
        <w:rPr>
          <w:rFonts w:ascii="Times New Roman" w:hAnsi="Times New Roman"/>
          <w:bCs/>
          <w:noProof/>
          <w:szCs w:val="24"/>
        </w:rPr>
        <w:t>I</w:t>
      </w:r>
      <w:r w:rsidR="00B22521" w:rsidRPr="00643A73">
        <w:rPr>
          <w:rFonts w:ascii="Times New Roman" w:hAnsi="Times New Roman"/>
          <w:bCs/>
          <w:noProof/>
          <w:szCs w:val="24"/>
        </w:rPr>
        <w:t>“</w:t>
      </w:r>
      <w:r w:rsidR="00643A73" w:rsidRPr="00643A73">
        <w:rPr>
          <w:rFonts w:ascii="Times New Roman" w:hAnsi="Times New Roman"/>
          <w:bCs/>
          <w:noProof/>
          <w:szCs w:val="24"/>
        </w:rPr>
        <w:t xml:space="preserve"> </w:t>
      </w:r>
      <w:r w:rsidR="004C2448">
        <w:rPr>
          <w:rFonts w:ascii="Times New Roman" w:hAnsi="Times New Roman"/>
          <w:bCs/>
          <w:noProof/>
          <w:szCs w:val="24"/>
        </w:rPr>
        <w:t xml:space="preserve">u iznosu </w:t>
      </w:r>
      <w:r w:rsidR="00643A73" w:rsidRPr="00643A73">
        <w:rPr>
          <w:rFonts w:ascii="Times New Roman" w:hAnsi="Times New Roman"/>
          <w:bCs/>
          <w:noProof/>
          <w:szCs w:val="24"/>
        </w:rPr>
        <w:t>87.550,00</w:t>
      </w:r>
      <w:r w:rsidR="00B22521" w:rsidRPr="00643A73">
        <w:rPr>
          <w:rFonts w:ascii="Times New Roman" w:hAnsi="Times New Roman"/>
          <w:bCs/>
          <w:noProof/>
          <w:szCs w:val="24"/>
        </w:rPr>
        <w:t xml:space="preserve"> €</w:t>
      </w:r>
      <w:r w:rsidR="004C2448">
        <w:rPr>
          <w:rFonts w:ascii="Times New Roman" w:hAnsi="Times New Roman"/>
          <w:bCs/>
          <w:noProof/>
          <w:szCs w:val="24"/>
        </w:rPr>
        <w:t xml:space="preserve"> i </w:t>
      </w:r>
      <w:r w:rsidR="004C2448">
        <w:rPr>
          <w:rFonts w:ascii="Times New Roman" w:hAnsi="Times New Roman"/>
          <w:noProof/>
          <w:szCs w:val="24"/>
        </w:rPr>
        <w:t xml:space="preserve">projekt </w:t>
      </w:r>
      <w:r w:rsidR="00435431" w:rsidRPr="00435431">
        <w:rPr>
          <w:rFonts w:ascii="Times New Roman" w:hAnsi="Times New Roman"/>
          <w:bCs/>
          <w:noProof/>
          <w:szCs w:val="24"/>
        </w:rPr>
        <w:t xml:space="preserve">„Školska shema“ </w:t>
      </w:r>
      <w:r w:rsidR="004C2448">
        <w:rPr>
          <w:rFonts w:ascii="Times New Roman" w:hAnsi="Times New Roman"/>
          <w:bCs/>
          <w:noProof/>
          <w:szCs w:val="24"/>
        </w:rPr>
        <w:t xml:space="preserve">u iznosu </w:t>
      </w:r>
      <w:r w:rsidR="00435431" w:rsidRPr="00435431">
        <w:rPr>
          <w:rFonts w:ascii="Times New Roman" w:hAnsi="Times New Roman"/>
          <w:bCs/>
          <w:noProof/>
          <w:szCs w:val="24"/>
        </w:rPr>
        <w:t>2.578,37</w:t>
      </w:r>
      <w:r w:rsidR="00B22521" w:rsidRPr="00435431">
        <w:rPr>
          <w:rFonts w:ascii="Times New Roman" w:hAnsi="Times New Roman"/>
          <w:bCs/>
          <w:noProof/>
          <w:szCs w:val="24"/>
        </w:rPr>
        <w:t xml:space="preserve"> €</w:t>
      </w:r>
      <w:r w:rsidR="004C2448">
        <w:rPr>
          <w:rFonts w:ascii="Times New Roman" w:hAnsi="Times New Roman"/>
          <w:bCs/>
          <w:noProof/>
          <w:szCs w:val="24"/>
        </w:rPr>
        <w:t>.</w:t>
      </w:r>
    </w:p>
    <w:p w14:paraId="3C3FC26B" w14:textId="351894EF" w:rsidR="008000A8" w:rsidRPr="00E50076" w:rsidRDefault="00C43F53" w:rsidP="00874240">
      <w:pPr>
        <w:tabs>
          <w:tab w:val="left" w:pos="851"/>
          <w:tab w:val="center" w:pos="6663"/>
        </w:tabs>
        <w:spacing w:line="360" w:lineRule="auto"/>
        <w:jc w:val="both"/>
        <w:rPr>
          <w:rFonts w:ascii="Times New Roman" w:hAnsi="Times New Roman"/>
          <w:bCs/>
          <w:noProof/>
          <w:szCs w:val="24"/>
        </w:rPr>
      </w:pPr>
      <w:r w:rsidRPr="00E50076">
        <w:rPr>
          <w:rFonts w:ascii="Times New Roman" w:hAnsi="Times New Roman"/>
          <w:bCs/>
          <w:noProof/>
          <w:szCs w:val="24"/>
        </w:rPr>
        <w:tab/>
      </w:r>
      <w:r w:rsidR="00B22521" w:rsidRPr="00E50076">
        <w:rPr>
          <w:rFonts w:ascii="Times New Roman" w:hAnsi="Times New Roman"/>
          <w:bCs/>
          <w:noProof/>
          <w:szCs w:val="24"/>
        </w:rPr>
        <w:tab/>
      </w:r>
      <w:r w:rsidR="00E14BA8" w:rsidRPr="00E50076">
        <w:rPr>
          <w:rFonts w:ascii="Times New Roman" w:hAnsi="Times New Roman"/>
          <w:bCs/>
          <w:noProof/>
          <w:szCs w:val="24"/>
        </w:rPr>
        <w:t>Navedene pomoći kod korisnika uglavnom se odnose na pomoći iz Državnog proračuna za provođenje Erasmus projekata</w:t>
      </w:r>
      <w:r w:rsidR="00E50076">
        <w:rPr>
          <w:rFonts w:ascii="Times New Roman" w:hAnsi="Times New Roman"/>
          <w:bCs/>
          <w:noProof/>
          <w:szCs w:val="24"/>
        </w:rPr>
        <w:t xml:space="preserve"> kod korisnika u školstvu. Značajniji iznos prema zahtjevu za  nadokandu sredstava povukla je Medicinska škola </w:t>
      </w:r>
      <w:r w:rsidR="00E50076" w:rsidRPr="00E50076">
        <w:rPr>
          <w:rFonts w:ascii="Times New Roman" w:hAnsi="Times New Roman"/>
          <w:bCs/>
          <w:noProof/>
          <w:szCs w:val="24"/>
        </w:rPr>
        <w:t xml:space="preserve">za </w:t>
      </w:r>
      <w:r w:rsidR="00E14BA8" w:rsidRPr="00E50076">
        <w:rPr>
          <w:rFonts w:ascii="Times New Roman" w:hAnsi="Times New Roman"/>
          <w:bCs/>
          <w:noProof/>
          <w:szCs w:val="24"/>
        </w:rPr>
        <w:t xml:space="preserve">provođenje </w:t>
      </w:r>
      <w:r w:rsidR="002547FB" w:rsidRPr="00E50076">
        <w:rPr>
          <w:rFonts w:ascii="Times New Roman" w:hAnsi="Times New Roman"/>
          <w:bCs/>
          <w:noProof/>
          <w:szCs w:val="24"/>
        </w:rPr>
        <w:t xml:space="preserve">projekta </w:t>
      </w:r>
      <w:r w:rsidR="00E14BA8" w:rsidRPr="00E50076">
        <w:rPr>
          <w:rFonts w:ascii="Times New Roman" w:hAnsi="Times New Roman"/>
          <w:bCs/>
          <w:noProof/>
          <w:szCs w:val="24"/>
        </w:rPr>
        <w:t xml:space="preserve">RCK </w:t>
      </w:r>
      <w:r w:rsidR="00946AF6">
        <w:rPr>
          <w:rFonts w:ascii="Times New Roman" w:hAnsi="Times New Roman"/>
          <w:bCs/>
          <w:noProof/>
          <w:szCs w:val="24"/>
        </w:rPr>
        <w:t xml:space="preserve">2 </w:t>
      </w:r>
      <w:r w:rsidR="00E14BA8" w:rsidRPr="00E50076">
        <w:rPr>
          <w:rFonts w:ascii="Times New Roman" w:hAnsi="Times New Roman"/>
          <w:bCs/>
          <w:noProof/>
          <w:szCs w:val="24"/>
        </w:rPr>
        <w:t>Medicinske škole Bjelovar.</w:t>
      </w:r>
      <w:r w:rsidR="00E50076">
        <w:rPr>
          <w:rFonts w:ascii="Times New Roman" w:hAnsi="Times New Roman"/>
          <w:bCs/>
          <w:noProof/>
          <w:szCs w:val="24"/>
        </w:rPr>
        <w:t xml:space="preserve"> </w:t>
      </w:r>
      <w:r w:rsidR="00E50076" w:rsidRPr="00353508">
        <w:rPr>
          <w:rFonts w:ascii="Times New Roman" w:hAnsi="Times New Roman"/>
          <w:bCs/>
          <w:noProof/>
          <w:szCs w:val="24"/>
        </w:rPr>
        <w:t>Kapitalne pomoći ostvarili su korisnici u zdravstvu.</w:t>
      </w:r>
    </w:p>
    <w:p w14:paraId="0D2A90F1" w14:textId="554C0F1D" w:rsidR="006A08DB" w:rsidRPr="007A4B41" w:rsidRDefault="00E47372" w:rsidP="00353508">
      <w:pPr>
        <w:pStyle w:val="Header"/>
        <w:tabs>
          <w:tab w:val="clear" w:pos="4153"/>
          <w:tab w:val="clear" w:pos="8306"/>
          <w:tab w:val="left" w:pos="851"/>
          <w:tab w:val="right" w:pos="9072"/>
        </w:tabs>
        <w:spacing w:line="360" w:lineRule="auto"/>
        <w:ind w:left="142"/>
        <w:jc w:val="both"/>
        <w:rPr>
          <w:rFonts w:ascii="Times New Roman" w:hAnsi="Times New Roman"/>
          <w:bCs/>
          <w:noProof/>
          <w:szCs w:val="24"/>
        </w:rPr>
      </w:pPr>
      <w:r w:rsidRPr="005F3600">
        <w:rPr>
          <w:rFonts w:ascii="Times New Roman" w:hAnsi="Times New Roman"/>
          <w:bCs/>
          <w:noProof/>
          <w:szCs w:val="24"/>
        </w:rPr>
        <w:tab/>
      </w:r>
      <w:r w:rsidR="00DF09BC" w:rsidRPr="005F3600">
        <w:rPr>
          <w:rFonts w:ascii="Times New Roman" w:hAnsi="Times New Roman"/>
          <w:bCs/>
          <w:noProof/>
          <w:szCs w:val="24"/>
        </w:rPr>
        <w:tab/>
      </w:r>
      <w:r w:rsidR="00763C4A" w:rsidRPr="005F3600">
        <w:rPr>
          <w:rFonts w:ascii="Times New Roman" w:hAnsi="Times New Roman"/>
          <w:bCs/>
          <w:noProof/>
          <w:szCs w:val="24"/>
        </w:rPr>
        <w:t>(</w:t>
      </w:r>
      <w:r w:rsidR="00763C4A" w:rsidRPr="005F3600">
        <w:rPr>
          <w:rFonts w:ascii="Times New Roman" w:hAnsi="Times New Roman"/>
          <w:b/>
          <w:bCs/>
          <w:noProof/>
          <w:szCs w:val="24"/>
        </w:rPr>
        <w:t xml:space="preserve">64) </w:t>
      </w:r>
      <w:r w:rsidR="00DC5AE5" w:rsidRPr="005F3600">
        <w:rPr>
          <w:rFonts w:ascii="Times New Roman" w:hAnsi="Times New Roman"/>
          <w:b/>
          <w:bCs/>
          <w:noProof/>
          <w:szCs w:val="24"/>
        </w:rPr>
        <w:t>Prihodi</w:t>
      </w:r>
      <w:r w:rsidR="00DC5AE5" w:rsidRPr="00DD0E50">
        <w:rPr>
          <w:rFonts w:ascii="Times New Roman" w:hAnsi="Times New Roman"/>
          <w:b/>
          <w:bCs/>
          <w:noProof/>
          <w:szCs w:val="24"/>
        </w:rPr>
        <w:t xml:space="preserve"> od imovine obuhavaćaju prihode od financijske</w:t>
      </w:r>
      <w:r w:rsidR="00A35C2F" w:rsidRPr="00DD0E50">
        <w:rPr>
          <w:rFonts w:ascii="Times New Roman" w:hAnsi="Times New Roman"/>
          <w:b/>
          <w:bCs/>
          <w:noProof/>
          <w:szCs w:val="24"/>
        </w:rPr>
        <w:t xml:space="preserve"> i nefinancijske imovine</w:t>
      </w:r>
      <w:r w:rsidR="005F3600">
        <w:rPr>
          <w:rFonts w:ascii="Times New Roman" w:hAnsi="Times New Roman"/>
          <w:b/>
          <w:bCs/>
          <w:noProof/>
          <w:szCs w:val="24"/>
        </w:rPr>
        <w:t xml:space="preserve">  </w:t>
      </w:r>
      <w:r w:rsidR="005F3600" w:rsidRPr="005F3600">
        <w:rPr>
          <w:rFonts w:ascii="Times New Roman" w:hAnsi="Times New Roman"/>
          <w:bCs/>
          <w:noProof/>
          <w:szCs w:val="24"/>
        </w:rPr>
        <w:t>i</w:t>
      </w:r>
      <w:r w:rsidR="00A35C2F" w:rsidRPr="005F3600">
        <w:rPr>
          <w:rFonts w:ascii="Times New Roman" w:hAnsi="Times New Roman"/>
          <w:bCs/>
          <w:noProof/>
          <w:szCs w:val="24"/>
        </w:rPr>
        <w:t xml:space="preserve"> </w:t>
      </w:r>
      <w:r w:rsidR="005F3600">
        <w:rPr>
          <w:rFonts w:ascii="Times New Roman" w:hAnsi="Times New Roman"/>
          <w:bCs/>
          <w:noProof/>
          <w:szCs w:val="24"/>
        </w:rPr>
        <w:t xml:space="preserve">u odnosu na obračunsko razdoblje prošle godine povećane su za 116,05% dok je ostvarenje u </w:t>
      </w:r>
      <w:r w:rsidR="005F3600" w:rsidRPr="007A4B41">
        <w:rPr>
          <w:rFonts w:ascii="Times New Roman" w:hAnsi="Times New Roman"/>
          <w:bCs/>
          <w:noProof/>
          <w:szCs w:val="24"/>
        </w:rPr>
        <w:t xml:space="preserve">odnosu na plan 35,11%. </w:t>
      </w:r>
      <w:r w:rsidR="00A35C2F" w:rsidRPr="007A4B41">
        <w:rPr>
          <w:rFonts w:ascii="Times New Roman" w:hAnsi="Times New Roman"/>
          <w:bCs/>
          <w:noProof/>
          <w:szCs w:val="24"/>
        </w:rPr>
        <w:t xml:space="preserve">Prihodi od financijske </w:t>
      </w:r>
      <w:r w:rsidR="00DC5AE5" w:rsidRPr="007A4B41">
        <w:rPr>
          <w:rFonts w:ascii="Times New Roman" w:hAnsi="Times New Roman"/>
          <w:bCs/>
          <w:noProof/>
          <w:szCs w:val="24"/>
        </w:rPr>
        <w:t xml:space="preserve"> imovine </w:t>
      </w:r>
      <w:r w:rsidR="00DF09BC" w:rsidRPr="007A4B41">
        <w:rPr>
          <w:rFonts w:ascii="Times New Roman" w:hAnsi="Times New Roman"/>
          <w:bCs/>
          <w:noProof/>
          <w:szCs w:val="24"/>
        </w:rPr>
        <w:t xml:space="preserve"> u </w:t>
      </w:r>
      <w:r w:rsidR="00DD0E50" w:rsidRPr="007A4B41">
        <w:rPr>
          <w:rFonts w:ascii="Times New Roman" w:hAnsi="Times New Roman"/>
          <w:bCs/>
          <w:noProof/>
          <w:szCs w:val="24"/>
        </w:rPr>
        <w:t>porastu</w:t>
      </w:r>
      <w:r w:rsidR="00DF09BC" w:rsidRPr="007A4B41">
        <w:rPr>
          <w:rFonts w:ascii="Times New Roman" w:hAnsi="Times New Roman"/>
          <w:bCs/>
          <w:noProof/>
          <w:szCs w:val="24"/>
        </w:rPr>
        <w:t xml:space="preserve"> </w:t>
      </w:r>
      <w:r w:rsidR="008B4FE5" w:rsidRPr="007A4B41">
        <w:rPr>
          <w:rFonts w:ascii="Times New Roman" w:hAnsi="Times New Roman"/>
          <w:bCs/>
          <w:noProof/>
          <w:szCs w:val="24"/>
        </w:rPr>
        <w:t>s</w:t>
      </w:r>
      <w:r w:rsidR="00A30E08" w:rsidRPr="007A4B41">
        <w:rPr>
          <w:rFonts w:ascii="Times New Roman" w:hAnsi="Times New Roman"/>
          <w:bCs/>
          <w:noProof/>
          <w:szCs w:val="24"/>
        </w:rPr>
        <w:t>u</w:t>
      </w:r>
      <w:r w:rsidR="005F3600" w:rsidRPr="007A4B41">
        <w:rPr>
          <w:rFonts w:ascii="Times New Roman" w:hAnsi="Times New Roman"/>
          <w:bCs/>
          <w:noProof/>
          <w:szCs w:val="24"/>
        </w:rPr>
        <w:t xml:space="preserve"> u </w:t>
      </w:r>
      <w:r w:rsidR="00A30E08" w:rsidRPr="007A4B41">
        <w:rPr>
          <w:rFonts w:ascii="Times New Roman" w:hAnsi="Times New Roman"/>
          <w:bCs/>
          <w:noProof/>
          <w:szCs w:val="24"/>
        </w:rPr>
        <w:t xml:space="preserve"> odnosu na prošlu godinu iz razloga</w:t>
      </w:r>
      <w:r w:rsidR="00DC5AE5" w:rsidRPr="007A4B41">
        <w:rPr>
          <w:rFonts w:ascii="Times New Roman" w:hAnsi="Times New Roman"/>
          <w:bCs/>
          <w:noProof/>
          <w:szCs w:val="24"/>
        </w:rPr>
        <w:t xml:space="preserve"> </w:t>
      </w:r>
      <w:r w:rsidR="00DD0E50" w:rsidRPr="007A4B41">
        <w:rPr>
          <w:rFonts w:ascii="Times New Roman" w:hAnsi="Times New Roman"/>
          <w:bCs/>
          <w:noProof/>
          <w:szCs w:val="24"/>
        </w:rPr>
        <w:t>naplate zateznih kamata</w:t>
      </w:r>
      <w:r w:rsidR="00D94DA5">
        <w:rPr>
          <w:rFonts w:ascii="Times New Roman" w:hAnsi="Times New Roman"/>
          <w:bCs/>
          <w:noProof/>
          <w:szCs w:val="24"/>
        </w:rPr>
        <w:t xml:space="preserve"> i uplate viškova vlastitih prihoda korisnika.</w:t>
      </w:r>
      <w:r w:rsidR="00BE4273" w:rsidRPr="007A4B41">
        <w:rPr>
          <w:rFonts w:ascii="Times New Roman" w:hAnsi="Times New Roman"/>
          <w:bCs/>
          <w:noProof/>
          <w:szCs w:val="24"/>
        </w:rPr>
        <w:t xml:space="preserve"> </w:t>
      </w:r>
      <w:r w:rsidR="00A35C2F" w:rsidRPr="007A4B41">
        <w:rPr>
          <w:rFonts w:ascii="Times New Roman" w:hAnsi="Times New Roman"/>
          <w:bCs/>
          <w:noProof/>
          <w:szCs w:val="24"/>
        </w:rPr>
        <w:t>Prihodi od nefinancijske imovine obuhvaćaju naknadu za koncesiju prava lova, distribuciju plina, prihode od zakupa poljoprivrednog zemljišta, ostale prihode od iznjmljivanja i zakupa imovine, naknadu za eksploataciju mineralnih sirovina, lovozakupninu</w:t>
      </w:r>
      <w:r w:rsidR="00F12390" w:rsidRPr="007A4B41">
        <w:rPr>
          <w:rFonts w:ascii="Times New Roman" w:hAnsi="Times New Roman"/>
          <w:bCs/>
          <w:noProof/>
          <w:szCs w:val="24"/>
        </w:rPr>
        <w:t>.</w:t>
      </w:r>
      <w:r w:rsidR="006A08DB" w:rsidRPr="007A4B41">
        <w:rPr>
          <w:rFonts w:ascii="Times New Roman" w:hAnsi="Times New Roman"/>
          <w:bCs/>
          <w:noProof/>
          <w:szCs w:val="24"/>
        </w:rPr>
        <w:t xml:space="preserve"> U odnosu na obračunsko razdoblje prošle godine primjetno je povećanje naknade za korištenje nefnancijske imovine zahvaljujući ostvarenju naknade za pridobivene količine energetske mineralne sirovine uslijed puštanja u pogon skladišta podzemnog plina u Grubišnom Polju.</w:t>
      </w:r>
    </w:p>
    <w:p w14:paraId="01CFEC75" w14:textId="1947DE8A" w:rsidR="001D0430" w:rsidRDefault="00B359F7" w:rsidP="00881CAD">
      <w:pPr>
        <w:tabs>
          <w:tab w:val="left" w:pos="851"/>
          <w:tab w:val="center" w:pos="6663"/>
        </w:tabs>
        <w:spacing w:line="360" w:lineRule="auto"/>
        <w:jc w:val="both"/>
        <w:rPr>
          <w:rFonts w:ascii="Times New Roman" w:hAnsi="Times New Roman"/>
          <w:bCs/>
          <w:noProof/>
          <w:szCs w:val="24"/>
        </w:rPr>
      </w:pPr>
      <w:r w:rsidRPr="007A4B41">
        <w:rPr>
          <w:rFonts w:ascii="Times New Roman" w:hAnsi="Times New Roman"/>
          <w:bCs/>
          <w:noProof/>
          <w:szCs w:val="24"/>
        </w:rPr>
        <w:tab/>
      </w:r>
      <w:r w:rsidR="00881CAD" w:rsidRPr="007A4B41">
        <w:rPr>
          <w:rFonts w:ascii="Times New Roman" w:hAnsi="Times New Roman"/>
          <w:bCs/>
          <w:noProof/>
          <w:szCs w:val="24"/>
        </w:rPr>
        <w:t>(</w:t>
      </w:r>
      <w:r w:rsidRPr="007A4B41">
        <w:rPr>
          <w:rFonts w:ascii="Times New Roman" w:hAnsi="Times New Roman"/>
          <w:b/>
          <w:bCs/>
          <w:noProof/>
          <w:szCs w:val="24"/>
        </w:rPr>
        <w:t xml:space="preserve">65) </w:t>
      </w:r>
      <w:r w:rsidR="00510265" w:rsidRPr="007A4B41">
        <w:rPr>
          <w:rFonts w:ascii="Times New Roman" w:hAnsi="Times New Roman"/>
          <w:b/>
          <w:bCs/>
          <w:noProof/>
          <w:szCs w:val="24"/>
        </w:rPr>
        <w:t>Prihodi od upravnih i administrativnih pristojbi</w:t>
      </w:r>
      <w:r w:rsidR="004A2155" w:rsidRPr="007A4B41">
        <w:rPr>
          <w:rFonts w:ascii="Times New Roman" w:hAnsi="Times New Roman"/>
          <w:bCs/>
          <w:noProof/>
          <w:szCs w:val="24"/>
        </w:rPr>
        <w:t xml:space="preserve">, </w:t>
      </w:r>
      <w:r w:rsidR="004A2155" w:rsidRPr="007A4B41">
        <w:rPr>
          <w:rFonts w:ascii="Times New Roman" w:hAnsi="Times New Roman"/>
          <w:b/>
          <w:bCs/>
          <w:noProof/>
          <w:szCs w:val="24"/>
        </w:rPr>
        <w:t>prihodi po posebnim propisima i naknada</w:t>
      </w:r>
      <w:r w:rsidR="004A2155" w:rsidRPr="007A4B41">
        <w:rPr>
          <w:rFonts w:ascii="Times New Roman" w:hAnsi="Times New Roman"/>
          <w:bCs/>
          <w:noProof/>
          <w:szCs w:val="24"/>
        </w:rPr>
        <w:t xml:space="preserve"> </w:t>
      </w:r>
      <w:r w:rsidR="00510265" w:rsidRPr="007A4B41">
        <w:rPr>
          <w:rFonts w:ascii="Times New Roman" w:hAnsi="Times New Roman"/>
          <w:bCs/>
          <w:noProof/>
          <w:szCs w:val="24"/>
        </w:rPr>
        <w:t xml:space="preserve">u odnosu na promatrano razdoblje </w:t>
      </w:r>
      <w:r w:rsidR="007E0AB9" w:rsidRPr="007A4B41">
        <w:rPr>
          <w:rFonts w:ascii="Times New Roman" w:hAnsi="Times New Roman"/>
          <w:bCs/>
          <w:noProof/>
          <w:szCs w:val="24"/>
        </w:rPr>
        <w:t xml:space="preserve">prethodne godine </w:t>
      </w:r>
      <w:r w:rsidR="005E6E05">
        <w:rPr>
          <w:rFonts w:ascii="Times New Roman" w:hAnsi="Times New Roman"/>
          <w:bCs/>
          <w:noProof/>
          <w:szCs w:val="24"/>
        </w:rPr>
        <w:t xml:space="preserve">manji su za </w:t>
      </w:r>
      <w:r w:rsidR="003A0021">
        <w:rPr>
          <w:rFonts w:ascii="Times New Roman" w:hAnsi="Times New Roman"/>
          <w:bCs/>
          <w:noProof/>
          <w:szCs w:val="24"/>
        </w:rPr>
        <w:t xml:space="preserve">43,06 </w:t>
      </w:r>
      <w:r w:rsidR="005E6E05">
        <w:rPr>
          <w:rFonts w:ascii="Times New Roman" w:hAnsi="Times New Roman"/>
          <w:bCs/>
          <w:noProof/>
          <w:szCs w:val="24"/>
        </w:rPr>
        <w:t xml:space="preserve">%, </w:t>
      </w:r>
      <w:r w:rsidR="003A0021">
        <w:rPr>
          <w:rFonts w:ascii="Times New Roman" w:hAnsi="Times New Roman"/>
          <w:bCs/>
          <w:noProof/>
          <w:szCs w:val="24"/>
        </w:rPr>
        <w:t>a izvršenje u odnosu na plan je 55,86 %.</w:t>
      </w:r>
      <w:r w:rsidR="001D0430" w:rsidRPr="007A4B41">
        <w:rPr>
          <w:rFonts w:ascii="Times New Roman" w:hAnsi="Times New Roman"/>
          <w:bCs/>
          <w:noProof/>
          <w:szCs w:val="24"/>
        </w:rPr>
        <w:t xml:space="preserve"> Upravne i administrativne pristojbe ostvaruje Županija i </w:t>
      </w:r>
      <w:r w:rsidR="005E6E05">
        <w:rPr>
          <w:rFonts w:ascii="Times New Roman" w:hAnsi="Times New Roman"/>
          <w:bCs/>
          <w:noProof/>
          <w:szCs w:val="24"/>
        </w:rPr>
        <w:t>u odnosu na</w:t>
      </w:r>
      <w:r w:rsidR="001D0430" w:rsidRPr="007A4B41">
        <w:rPr>
          <w:rFonts w:ascii="Times New Roman" w:hAnsi="Times New Roman"/>
          <w:bCs/>
          <w:noProof/>
          <w:szCs w:val="24"/>
        </w:rPr>
        <w:t xml:space="preserve"> ostvarenj</w:t>
      </w:r>
      <w:r w:rsidR="005E6E05">
        <w:rPr>
          <w:rFonts w:ascii="Times New Roman" w:hAnsi="Times New Roman"/>
          <w:bCs/>
          <w:noProof/>
          <w:szCs w:val="24"/>
        </w:rPr>
        <w:t>e</w:t>
      </w:r>
      <w:r w:rsidR="001D0430" w:rsidRPr="007A4B41">
        <w:rPr>
          <w:rFonts w:ascii="Times New Roman" w:hAnsi="Times New Roman"/>
          <w:bCs/>
          <w:noProof/>
          <w:szCs w:val="24"/>
        </w:rPr>
        <w:t xml:space="preserve"> prošle godine</w:t>
      </w:r>
      <w:r w:rsidR="005E6E05">
        <w:rPr>
          <w:rFonts w:ascii="Times New Roman" w:hAnsi="Times New Roman"/>
          <w:bCs/>
          <w:noProof/>
          <w:szCs w:val="24"/>
        </w:rPr>
        <w:t xml:space="preserve"> izvšenje je </w:t>
      </w:r>
      <w:r w:rsidR="00832583">
        <w:rPr>
          <w:rFonts w:ascii="Times New Roman" w:hAnsi="Times New Roman"/>
          <w:bCs/>
          <w:noProof/>
          <w:szCs w:val="24"/>
        </w:rPr>
        <w:t>9,5</w:t>
      </w:r>
      <w:r w:rsidR="005E6E05">
        <w:rPr>
          <w:rFonts w:ascii="Times New Roman" w:hAnsi="Times New Roman"/>
          <w:bCs/>
          <w:noProof/>
          <w:szCs w:val="24"/>
        </w:rPr>
        <w:t>%</w:t>
      </w:r>
      <w:r w:rsidR="00832583">
        <w:rPr>
          <w:rFonts w:ascii="Times New Roman" w:hAnsi="Times New Roman"/>
          <w:bCs/>
          <w:noProof/>
          <w:szCs w:val="24"/>
        </w:rPr>
        <w:t xml:space="preserve"> manje</w:t>
      </w:r>
      <w:r w:rsidR="005E6E05">
        <w:rPr>
          <w:rFonts w:ascii="Times New Roman" w:hAnsi="Times New Roman"/>
          <w:bCs/>
          <w:noProof/>
          <w:szCs w:val="24"/>
        </w:rPr>
        <w:t>.</w:t>
      </w:r>
      <w:r w:rsidR="006A6F14">
        <w:rPr>
          <w:rFonts w:ascii="Times New Roman" w:hAnsi="Times New Roman"/>
          <w:bCs/>
          <w:noProof/>
          <w:szCs w:val="24"/>
        </w:rPr>
        <w:t xml:space="preserve"> </w:t>
      </w:r>
      <w:r w:rsidR="001D0430" w:rsidRPr="007A4B41">
        <w:rPr>
          <w:rFonts w:ascii="Times New Roman" w:hAnsi="Times New Roman"/>
          <w:bCs/>
          <w:noProof/>
          <w:szCs w:val="24"/>
        </w:rPr>
        <w:t>Prihode po posebnim propisima</w:t>
      </w:r>
      <w:r w:rsidR="00510265" w:rsidRPr="007A4B41">
        <w:rPr>
          <w:rFonts w:ascii="Times New Roman" w:hAnsi="Times New Roman"/>
          <w:bCs/>
          <w:noProof/>
          <w:szCs w:val="24"/>
        </w:rPr>
        <w:t xml:space="preserve"> </w:t>
      </w:r>
      <w:r w:rsidR="001D0430" w:rsidRPr="007A4B41">
        <w:rPr>
          <w:rFonts w:ascii="Times New Roman" w:hAnsi="Times New Roman"/>
          <w:bCs/>
          <w:noProof/>
          <w:szCs w:val="24"/>
        </w:rPr>
        <w:t>u većem dijelu ostvaruju proračunski korisnici (sufinanciranje cijene usluge, participacije</w:t>
      </w:r>
      <w:r w:rsidR="0072409B" w:rsidRPr="007A4B41">
        <w:rPr>
          <w:rFonts w:ascii="Times New Roman" w:hAnsi="Times New Roman"/>
          <w:bCs/>
          <w:noProof/>
          <w:szCs w:val="24"/>
        </w:rPr>
        <w:t xml:space="preserve"> i sl.</w:t>
      </w:r>
      <w:r w:rsidR="001D0430" w:rsidRPr="007A4B41">
        <w:rPr>
          <w:rFonts w:ascii="Times New Roman" w:hAnsi="Times New Roman"/>
          <w:bCs/>
          <w:noProof/>
          <w:szCs w:val="24"/>
        </w:rPr>
        <w:t>,</w:t>
      </w:r>
      <w:r w:rsidR="0072409B" w:rsidRPr="007A4B41">
        <w:rPr>
          <w:rFonts w:ascii="Times New Roman" w:hAnsi="Times New Roman"/>
          <w:bCs/>
          <w:noProof/>
          <w:szCs w:val="24"/>
        </w:rPr>
        <w:t xml:space="preserve"> prihodi od produženog boravka, </w:t>
      </w:r>
      <w:r w:rsidR="001D0430" w:rsidRPr="007A4B41">
        <w:rPr>
          <w:rFonts w:ascii="Times New Roman" w:hAnsi="Times New Roman"/>
          <w:bCs/>
          <w:noProof/>
          <w:szCs w:val="24"/>
        </w:rPr>
        <w:t>zdravstveno osiguranje, prihodi s naslova osiguranja i refundacija štete</w:t>
      </w:r>
      <w:r w:rsidR="00074AC9">
        <w:rPr>
          <w:rFonts w:ascii="Times New Roman" w:hAnsi="Times New Roman"/>
          <w:bCs/>
          <w:noProof/>
          <w:szCs w:val="24"/>
        </w:rPr>
        <w:t xml:space="preserve">). </w:t>
      </w:r>
    </w:p>
    <w:p w14:paraId="78BA696A" w14:textId="4D6A78B1" w:rsidR="00111527" w:rsidRPr="006758D2" w:rsidRDefault="00491DD3" w:rsidP="00353508">
      <w:pPr>
        <w:tabs>
          <w:tab w:val="left" w:pos="851"/>
          <w:tab w:val="center" w:pos="6663"/>
        </w:tabs>
        <w:spacing w:line="360" w:lineRule="auto"/>
        <w:jc w:val="both"/>
        <w:rPr>
          <w:rFonts w:ascii="Times New Roman" w:hAnsi="Times New Roman"/>
          <w:szCs w:val="24"/>
        </w:rPr>
      </w:pPr>
      <w:r w:rsidRPr="00A91BF7">
        <w:rPr>
          <w:rFonts w:ascii="Times New Roman" w:hAnsi="Times New Roman"/>
          <w:bCs/>
          <w:noProof/>
          <w:szCs w:val="24"/>
        </w:rPr>
        <w:lastRenderedPageBreak/>
        <w:tab/>
      </w:r>
      <w:r w:rsidRPr="003D0823">
        <w:rPr>
          <w:rFonts w:ascii="Times New Roman" w:hAnsi="Times New Roman"/>
          <w:b/>
          <w:bCs/>
          <w:noProof/>
          <w:szCs w:val="24"/>
        </w:rPr>
        <w:t>(66) Prihodi od prodaje proizvoda i robe te pruženih usluga</w:t>
      </w:r>
      <w:r w:rsidR="00CF15CD" w:rsidRPr="003D0823">
        <w:rPr>
          <w:rFonts w:ascii="Times New Roman" w:hAnsi="Times New Roman"/>
          <w:b/>
          <w:bCs/>
          <w:noProof/>
          <w:szCs w:val="24"/>
        </w:rPr>
        <w:t xml:space="preserve"> i prihodi od donacija te</w:t>
      </w:r>
      <w:r w:rsidR="00CF15CD" w:rsidRPr="003D0823">
        <w:rPr>
          <w:rFonts w:ascii="Times New Roman" w:hAnsi="Times New Roman"/>
          <w:bCs/>
          <w:noProof/>
          <w:szCs w:val="24"/>
        </w:rPr>
        <w:t xml:space="preserve"> </w:t>
      </w:r>
      <w:r w:rsidR="00CF15CD" w:rsidRPr="003D0823">
        <w:rPr>
          <w:rFonts w:ascii="Times New Roman" w:hAnsi="Times New Roman"/>
          <w:b/>
          <w:bCs/>
          <w:noProof/>
          <w:szCs w:val="24"/>
        </w:rPr>
        <w:t xml:space="preserve">povrati po protestiranim jamstvima </w:t>
      </w:r>
      <w:r w:rsidRPr="003D0823">
        <w:rPr>
          <w:rFonts w:ascii="Times New Roman" w:hAnsi="Times New Roman"/>
          <w:b/>
          <w:bCs/>
          <w:noProof/>
          <w:szCs w:val="24"/>
        </w:rPr>
        <w:t xml:space="preserve"> </w:t>
      </w:r>
      <w:r w:rsidRPr="003D0823">
        <w:rPr>
          <w:rFonts w:ascii="Times New Roman" w:hAnsi="Times New Roman"/>
          <w:bCs/>
          <w:noProof/>
          <w:szCs w:val="24"/>
        </w:rPr>
        <w:t xml:space="preserve">ostvareni su u visini od </w:t>
      </w:r>
      <w:r w:rsidR="007E4FCC" w:rsidRPr="003D0823">
        <w:rPr>
          <w:rFonts w:ascii="Times New Roman" w:hAnsi="Times New Roman"/>
          <w:bCs/>
          <w:noProof/>
          <w:szCs w:val="24"/>
        </w:rPr>
        <w:t>3.848.074,83</w:t>
      </w:r>
      <w:r w:rsidR="00CF15CD" w:rsidRPr="003D0823">
        <w:rPr>
          <w:rFonts w:ascii="Times New Roman" w:hAnsi="Times New Roman"/>
          <w:bCs/>
          <w:noProof/>
          <w:szCs w:val="24"/>
        </w:rPr>
        <w:t xml:space="preserve"> €</w:t>
      </w:r>
      <w:r w:rsidRPr="003D0823">
        <w:rPr>
          <w:rFonts w:ascii="Times New Roman" w:hAnsi="Times New Roman"/>
          <w:bCs/>
          <w:noProof/>
          <w:szCs w:val="24"/>
        </w:rPr>
        <w:t xml:space="preserve">  kn što je  </w:t>
      </w:r>
      <w:r w:rsidR="003D0823" w:rsidRPr="003D0823">
        <w:rPr>
          <w:rFonts w:ascii="Times New Roman" w:hAnsi="Times New Roman"/>
          <w:bCs/>
          <w:noProof/>
          <w:szCs w:val="24"/>
        </w:rPr>
        <w:t>7,77</w:t>
      </w:r>
      <w:r w:rsidRPr="003D0823">
        <w:rPr>
          <w:rFonts w:ascii="Times New Roman" w:hAnsi="Times New Roman"/>
          <w:bCs/>
          <w:noProof/>
          <w:szCs w:val="24"/>
        </w:rPr>
        <w:t xml:space="preserve"> %</w:t>
      </w:r>
      <w:r w:rsidRPr="003D0823">
        <w:rPr>
          <w:rFonts w:ascii="Times New Roman" w:hAnsi="Times New Roman"/>
          <w:b/>
          <w:bCs/>
          <w:noProof/>
          <w:szCs w:val="24"/>
        </w:rPr>
        <w:t xml:space="preserve"> </w:t>
      </w:r>
      <w:r w:rsidRPr="003D0823">
        <w:rPr>
          <w:rFonts w:ascii="Times New Roman" w:hAnsi="Times New Roman"/>
          <w:bCs/>
          <w:noProof/>
          <w:szCs w:val="24"/>
        </w:rPr>
        <w:t>više u odnosu na promatrano razdoblje prethodne godine</w:t>
      </w:r>
      <w:r w:rsidR="00CF15CD" w:rsidRPr="003D0823">
        <w:rPr>
          <w:rFonts w:ascii="Times New Roman" w:hAnsi="Times New Roman"/>
          <w:bCs/>
          <w:noProof/>
          <w:szCs w:val="24"/>
        </w:rPr>
        <w:t>, a u odnosu na plan</w:t>
      </w:r>
      <w:r w:rsidR="004F2DBC">
        <w:rPr>
          <w:rFonts w:ascii="Times New Roman" w:hAnsi="Times New Roman"/>
          <w:bCs/>
          <w:noProof/>
          <w:szCs w:val="24"/>
        </w:rPr>
        <w:t xml:space="preserve"> 2024. godine izvršenje je</w:t>
      </w:r>
      <w:r w:rsidR="00CF15CD" w:rsidRPr="003D0823">
        <w:rPr>
          <w:rFonts w:ascii="Times New Roman" w:hAnsi="Times New Roman"/>
          <w:bCs/>
          <w:noProof/>
          <w:szCs w:val="24"/>
        </w:rPr>
        <w:t xml:space="preserve"> </w:t>
      </w:r>
      <w:r w:rsidR="003D0823" w:rsidRPr="003D0823">
        <w:rPr>
          <w:rFonts w:ascii="Times New Roman" w:hAnsi="Times New Roman"/>
          <w:bCs/>
          <w:noProof/>
          <w:szCs w:val="24"/>
        </w:rPr>
        <w:t>61,96</w:t>
      </w:r>
      <w:r w:rsidR="00CF15CD" w:rsidRPr="003D0823">
        <w:rPr>
          <w:rFonts w:ascii="Times New Roman" w:hAnsi="Times New Roman"/>
          <w:bCs/>
          <w:noProof/>
          <w:szCs w:val="24"/>
        </w:rPr>
        <w:t xml:space="preserve"> %</w:t>
      </w:r>
      <w:r w:rsidR="00A3249D" w:rsidRPr="003D0823">
        <w:rPr>
          <w:rFonts w:ascii="Times New Roman" w:hAnsi="Times New Roman"/>
          <w:bCs/>
          <w:noProof/>
          <w:szCs w:val="24"/>
        </w:rPr>
        <w:t>.</w:t>
      </w:r>
      <w:r w:rsidRPr="003D0823">
        <w:rPr>
          <w:rFonts w:ascii="Times New Roman" w:hAnsi="Times New Roman"/>
          <w:bCs/>
          <w:noProof/>
          <w:szCs w:val="24"/>
        </w:rPr>
        <w:t xml:space="preserve"> O</w:t>
      </w:r>
      <w:r w:rsidR="00A3249D" w:rsidRPr="003D0823">
        <w:rPr>
          <w:rFonts w:ascii="Times New Roman" w:hAnsi="Times New Roman"/>
          <w:bCs/>
          <w:noProof/>
          <w:szCs w:val="24"/>
        </w:rPr>
        <w:t>d</w:t>
      </w:r>
      <w:r w:rsidRPr="003D0823">
        <w:rPr>
          <w:rFonts w:ascii="Times New Roman" w:hAnsi="Times New Roman"/>
          <w:bCs/>
          <w:noProof/>
          <w:szCs w:val="24"/>
        </w:rPr>
        <w:t xml:space="preserve"> toga Županija je ostvarila</w:t>
      </w:r>
      <w:r w:rsidR="008004AB">
        <w:rPr>
          <w:rFonts w:ascii="Times New Roman" w:hAnsi="Times New Roman"/>
          <w:bCs/>
          <w:noProof/>
          <w:szCs w:val="24"/>
        </w:rPr>
        <w:t xml:space="preserve"> </w:t>
      </w:r>
      <w:r w:rsidR="008004AB" w:rsidRPr="008004AB">
        <w:rPr>
          <w:rFonts w:ascii="Times New Roman" w:hAnsi="Times New Roman"/>
          <w:bCs/>
          <w:noProof/>
          <w:szCs w:val="24"/>
        </w:rPr>
        <w:t>26.926,39</w:t>
      </w:r>
      <w:r w:rsidRPr="003D0823">
        <w:rPr>
          <w:rFonts w:ascii="Times New Roman" w:hAnsi="Times New Roman"/>
          <w:bCs/>
          <w:noProof/>
          <w:szCs w:val="24"/>
        </w:rPr>
        <w:t xml:space="preserve"> </w:t>
      </w:r>
      <w:r w:rsidR="00A3249D" w:rsidRPr="003D0823">
        <w:rPr>
          <w:rFonts w:ascii="Times New Roman" w:hAnsi="Times New Roman"/>
          <w:bCs/>
          <w:noProof/>
          <w:szCs w:val="24"/>
        </w:rPr>
        <w:t>€</w:t>
      </w:r>
      <w:r w:rsidR="003F65DE">
        <w:rPr>
          <w:rFonts w:ascii="Times New Roman" w:hAnsi="Times New Roman"/>
          <w:bCs/>
          <w:noProof/>
          <w:szCs w:val="24"/>
        </w:rPr>
        <w:t>,</w:t>
      </w:r>
      <w:r w:rsidRPr="003D0823">
        <w:rPr>
          <w:rFonts w:ascii="Times New Roman" w:hAnsi="Times New Roman"/>
          <w:bCs/>
          <w:noProof/>
          <w:szCs w:val="24"/>
        </w:rPr>
        <w:t xml:space="preserve"> dok je </w:t>
      </w:r>
      <w:r w:rsidR="008004AB">
        <w:rPr>
          <w:rFonts w:ascii="Times New Roman" w:hAnsi="Times New Roman"/>
          <w:bCs/>
          <w:noProof/>
          <w:szCs w:val="24"/>
        </w:rPr>
        <w:t>ostatak prihoda ostvaren kod</w:t>
      </w:r>
      <w:r w:rsidRPr="003D0823">
        <w:rPr>
          <w:rFonts w:ascii="Times New Roman" w:hAnsi="Times New Roman"/>
          <w:bCs/>
          <w:noProof/>
          <w:szCs w:val="24"/>
        </w:rPr>
        <w:t xml:space="preserve"> proračunskih korisnika</w:t>
      </w:r>
      <w:r w:rsidR="008004AB">
        <w:rPr>
          <w:rFonts w:ascii="Times New Roman" w:hAnsi="Times New Roman"/>
          <w:bCs/>
          <w:noProof/>
          <w:szCs w:val="24"/>
        </w:rPr>
        <w:t>.</w:t>
      </w:r>
      <w:r w:rsidRPr="003D0823">
        <w:rPr>
          <w:rFonts w:ascii="Times New Roman" w:hAnsi="Times New Roman"/>
          <w:bCs/>
          <w:noProof/>
          <w:szCs w:val="24"/>
        </w:rPr>
        <w:t xml:space="preserve"> U okviru ovih prihoda</w:t>
      </w:r>
      <w:r w:rsidR="00DD50AE" w:rsidRPr="003D0823">
        <w:rPr>
          <w:rFonts w:ascii="Times New Roman" w:hAnsi="Times New Roman"/>
          <w:bCs/>
          <w:noProof/>
          <w:szCs w:val="24"/>
        </w:rPr>
        <w:t>,</w:t>
      </w:r>
      <w:r w:rsidRPr="003D0823">
        <w:rPr>
          <w:rFonts w:ascii="Times New Roman" w:hAnsi="Times New Roman"/>
          <w:bCs/>
          <w:noProof/>
          <w:szCs w:val="24"/>
        </w:rPr>
        <w:t xml:space="preserve"> prihodi od pruženih usluga ostvareni su u iznosu od</w:t>
      </w:r>
      <w:r w:rsidR="003D0823" w:rsidRPr="003D0823">
        <w:t xml:space="preserve"> </w:t>
      </w:r>
      <w:r w:rsidR="003D0823" w:rsidRPr="003D0823">
        <w:rPr>
          <w:rFonts w:ascii="Times New Roman" w:hAnsi="Times New Roman"/>
          <w:bCs/>
          <w:noProof/>
          <w:szCs w:val="24"/>
        </w:rPr>
        <w:t>3.</w:t>
      </w:r>
      <w:r w:rsidR="000E663A">
        <w:rPr>
          <w:rFonts w:ascii="Times New Roman" w:hAnsi="Times New Roman"/>
          <w:bCs/>
          <w:noProof/>
          <w:szCs w:val="24"/>
        </w:rPr>
        <w:t>266.048,56</w:t>
      </w:r>
      <w:r w:rsidRPr="003D0823">
        <w:rPr>
          <w:rFonts w:ascii="Times New Roman" w:hAnsi="Times New Roman"/>
          <w:bCs/>
          <w:noProof/>
          <w:szCs w:val="24"/>
        </w:rPr>
        <w:t xml:space="preserve"> </w:t>
      </w:r>
      <w:r w:rsidR="006E1835" w:rsidRPr="003D0823">
        <w:rPr>
          <w:rFonts w:ascii="Times New Roman" w:hAnsi="Times New Roman"/>
          <w:bCs/>
          <w:noProof/>
          <w:szCs w:val="24"/>
        </w:rPr>
        <w:t>€</w:t>
      </w:r>
      <w:r w:rsidRPr="003D0823">
        <w:rPr>
          <w:rFonts w:ascii="Times New Roman" w:hAnsi="Times New Roman"/>
          <w:bCs/>
          <w:noProof/>
          <w:szCs w:val="24"/>
        </w:rPr>
        <w:t xml:space="preserve"> što je povećanje od </w:t>
      </w:r>
      <w:r w:rsidR="003D0823" w:rsidRPr="003D0823">
        <w:rPr>
          <w:rFonts w:ascii="Times New Roman" w:hAnsi="Times New Roman"/>
          <w:bCs/>
          <w:noProof/>
          <w:szCs w:val="24"/>
        </w:rPr>
        <w:t>5,48</w:t>
      </w:r>
      <w:r w:rsidR="006E1835" w:rsidRPr="003D0823">
        <w:rPr>
          <w:rFonts w:ascii="Times New Roman" w:hAnsi="Times New Roman"/>
          <w:bCs/>
          <w:noProof/>
          <w:szCs w:val="24"/>
        </w:rPr>
        <w:t>%</w:t>
      </w:r>
      <w:r w:rsidRPr="003D0823">
        <w:rPr>
          <w:rFonts w:ascii="Times New Roman" w:hAnsi="Times New Roman"/>
          <w:bCs/>
          <w:noProof/>
          <w:szCs w:val="24"/>
        </w:rPr>
        <w:t xml:space="preserve"> </w:t>
      </w:r>
      <w:r w:rsidR="003960DC" w:rsidRPr="003D0823">
        <w:rPr>
          <w:rFonts w:ascii="Times New Roman" w:hAnsi="Times New Roman"/>
          <w:bCs/>
          <w:noProof/>
          <w:szCs w:val="24"/>
        </w:rPr>
        <w:t>u</w:t>
      </w:r>
      <w:r w:rsidR="004118F1" w:rsidRPr="003D0823">
        <w:rPr>
          <w:rFonts w:ascii="Times New Roman" w:hAnsi="Times New Roman"/>
          <w:bCs/>
          <w:noProof/>
          <w:szCs w:val="24"/>
        </w:rPr>
        <w:t xml:space="preserve"> </w:t>
      </w:r>
      <w:r w:rsidRPr="003D0823">
        <w:rPr>
          <w:rFonts w:ascii="Times New Roman" w:hAnsi="Times New Roman"/>
          <w:bCs/>
          <w:noProof/>
          <w:szCs w:val="24"/>
        </w:rPr>
        <w:t>odnosu na</w:t>
      </w:r>
      <w:r w:rsidR="00063FCA" w:rsidRPr="003D0823">
        <w:rPr>
          <w:rFonts w:ascii="Times New Roman" w:hAnsi="Times New Roman"/>
          <w:bCs/>
          <w:noProof/>
          <w:szCs w:val="24"/>
        </w:rPr>
        <w:t xml:space="preserve"> isto razdoblje </w:t>
      </w:r>
      <w:r w:rsidRPr="003D0823">
        <w:rPr>
          <w:rFonts w:ascii="Times New Roman" w:hAnsi="Times New Roman"/>
          <w:bCs/>
          <w:noProof/>
          <w:szCs w:val="24"/>
        </w:rPr>
        <w:t>prošl</w:t>
      </w:r>
      <w:r w:rsidR="0002668C" w:rsidRPr="003D0823">
        <w:rPr>
          <w:rFonts w:ascii="Times New Roman" w:hAnsi="Times New Roman"/>
          <w:bCs/>
          <w:noProof/>
          <w:szCs w:val="24"/>
        </w:rPr>
        <w:t>e</w:t>
      </w:r>
      <w:r w:rsidRPr="003D0823">
        <w:rPr>
          <w:rFonts w:ascii="Times New Roman" w:hAnsi="Times New Roman"/>
          <w:bCs/>
          <w:noProof/>
          <w:szCs w:val="24"/>
        </w:rPr>
        <w:t xml:space="preserve"> godin</w:t>
      </w:r>
      <w:r w:rsidR="0002668C" w:rsidRPr="003D0823">
        <w:rPr>
          <w:rFonts w:ascii="Times New Roman" w:hAnsi="Times New Roman"/>
          <w:bCs/>
          <w:noProof/>
          <w:szCs w:val="24"/>
        </w:rPr>
        <w:t>e</w:t>
      </w:r>
      <w:r w:rsidRPr="003D0823">
        <w:rPr>
          <w:rFonts w:ascii="Times New Roman" w:hAnsi="Times New Roman"/>
          <w:bCs/>
          <w:noProof/>
          <w:szCs w:val="24"/>
        </w:rPr>
        <w:t xml:space="preserve">. </w:t>
      </w:r>
      <w:r w:rsidR="006E1835" w:rsidRPr="00D72905">
        <w:rPr>
          <w:rFonts w:ascii="Times New Roman" w:hAnsi="Times New Roman"/>
          <w:bCs/>
          <w:noProof/>
          <w:szCs w:val="24"/>
        </w:rPr>
        <w:t xml:space="preserve">U odnosu na promatrano razdoblje prošle godine </w:t>
      </w:r>
      <w:r w:rsidR="00D72905">
        <w:rPr>
          <w:rFonts w:ascii="Times New Roman" w:hAnsi="Times New Roman"/>
          <w:bCs/>
          <w:noProof/>
          <w:szCs w:val="24"/>
        </w:rPr>
        <w:t xml:space="preserve">gledajući ukupno korisnici u srednjem školstvu imaju </w:t>
      </w:r>
      <w:r w:rsidR="006E1835" w:rsidRPr="00D72905">
        <w:rPr>
          <w:rFonts w:ascii="Times New Roman" w:hAnsi="Times New Roman"/>
          <w:bCs/>
          <w:noProof/>
          <w:szCs w:val="24"/>
        </w:rPr>
        <w:t xml:space="preserve"> porast ovih </w:t>
      </w:r>
      <w:r w:rsidR="006E1835" w:rsidRPr="00CC5FC6">
        <w:rPr>
          <w:rFonts w:ascii="Times New Roman" w:hAnsi="Times New Roman"/>
          <w:bCs/>
          <w:noProof/>
          <w:szCs w:val="24"/>
        </w:rPr>
        <w:t>prihoda</w:t>
      </w:r>
      <w:r w:rsidR="0036584C">
        <w:rPr>
          <w:rFonts w:ascii="Times New Roman" w:hAnsi="Times New Roman"/>
          <w:bCs/>
          <w:noProof/>
          <w:szCs w:val="24"/>
        </w:rPr>
        <w:t xml:space="preserve"> za 50%. </w:t>
      </w:r>
      <w:r w:rsidR="008A383A" w:rsidRPr="00111527">
        <w:rPr>
          <w:rFonts w:ascii="Times New Roman" w:hAnsi="Times New Roman"/>
          <w:bCs/>
          <w:noProof/>
          <w:szCs w:val="24"/>
        </w:rPr>
        <w:t xml:space="preserve">Povećanje </w:t>
      </w:r>
      <w:r w:rsidR="00111527">
        <w:rPr>
          <w:rFonts w:ascii="Times New Roman" w:hAnsi="Times New Roman"/>
          <w:szCs w:val="24"/>
        </w:rPr>
        <w:t>kapitalnih donacija odnosi se na prijenos prava vlasništva CARNETA ustanovama u osnovnom školstvu (donacija opreme), donaciju</w:t>
      </w:r>
      <w:r w:rsidR="000E663A">
        <w:rPr>
          <w:rFonts w:ascii="Times New Roman" w:hAnsi="Times New Roman"/>
          <w:szCs w:val="24"/>
        </w:rPr>
        <w:t xml:space="preserve"> za</w:t>
      </w:r>
      <w:r w:rsidR="00111527">
        <w:rPr>
          <w:rFonts w:ascii="Times New Roman" w:hAnsi="Times New Roman"/>
          <w:szCs w:val="24"/>
        </w:rPr>
        <w:t xml:space="preserve"> kombi vozil</w:t>
      </w:r>
      <w:r w:rsidR="000E663A">
        <w:rPr>
          <w:rFonts w:ascii="Times New Roman" w:hAnsi="Times New Roman"/>
          <w:szCs w:val="24"/>
        </w:rPr>
        <w:t>o</w:t>
      </w:r>
      <w:r w:rsidR="00111527">
        <w:rPr>
          <w:rFonts w:ascii="Times New Roman" w:hAnsi="Times New Roman"/>
          <w:szCs w:val="24"/>
        </w:rPr>
        <w:t xml:space="preserve"> Saveza čeha ČOŠ Josipa Ružičke Končanica, te ostalih donacija korisnicima temeljem zaključenih ugovora.</w:t>
      </w:r>
    </w:p>
    <w:p w14:paraId="711EE45E" w14:textId="357EE6D3" w:rsidR="00BF1A64" w:rsidRPr="00381750" w:rsidRDefault="005222B9" w:rsidP="00BF1A64">
      <w:pPr>
        <w:spacing w:line="360" w:lineRule="auto"/>
        <w:jc w:val="both"/>
        <w:rPr>
          <w:rFonts w:ascii="Times New Roman" w:hAnsi="Times New Roman"/>
          <w:bCs/>
          <w:noProof/>
          <w:szCs w:val="24"/>
          <w:highlight w:val="yellow"/>
        </w:rPr>
      </w:pPr>
      <w:r w:rsidRPr="00C20476">
        <w:rPr>
          <w:rFonts w:ascii="Times New Roman" w:hAnsi="Times New Roman"/>
          <w:b/>
          <w:bCs/>
          <w:noProof/>
          <w:szCs w:val="24"/>
        </w:rPr>
        <w:tab/>
        <w:t>(67) Prihodi</w:t>
      </w:r>
      <w:r w:rsidR="008325BF" w:rsidRPr="00C20476">
        <w:rPr>
          <w:rFonts w:ascii="Times New Roman" w:hAnsi="Times New Roman"/>
          <w:b/>
          <w:bCs/>
          <w:noProof/>
          <w:szCs w:val="24"/>
        </w:rPr>
        <w:t xml:space="preserve"> </w:t>
      </w:r>
      <w:r w:rsidR="00A97532" w:rsidRPr="00C20476">
        <w:rPr>
          <w:rFonts w:ascii="Times New Roman" w:hAnsi="Times New Roman"/>
          <w:b/>
          <w:bCs/>
          <w:noProof/>
          <w:szCs w:val="24"/>
        </w:rPr>
        <w:t>iz nadležnog proračuna</w:t>
      </w:r>
      <w:r w:rsidRPr="00C20476">
        <w:rPr>
          <w:rFonts w:ascii="Times New Roman" w:hAnsi="Times New Roman"/>
          <w:b/>
          <w:bCs/>
          <w:noProof/>
          <w:szCs w:val="24"/>
        </w:rPr>
        <w:t xml:space="preserve"> </w:t>
      </w:r>
      <w:r w:rsidR="00A97532" w:rsidRPr="00C20476">
        <w:rPr>
          <w:rFonts w:ascii="Times New Roman" w:hAnsi="Times New Roman"/>
          <w:b/>
          <w:bCs/>
          <w:noProof/>
          <w:szCs w:val="24"/>
        </w:rPr>
        <w:t xml:space="preserve">i </w:t>
      </w:r>
      <w:r w:rsidRPr="00C20476">
        <w:rPr>
          <w:rFonts w:ascii="Times New Roman" w:hAnsi="Times New Roman"/>
          <w:b/>
          <w:bCs/>
          <w:noProof/>
          <w:szCs w:val="24"/>
        </w:rPr>
        <w:t>od HZZO</w:t>
      </w:r>
      <w:r w:rsidRPr="006022FE">
        <w:rPr>
          <w:rFonts w:ascii="Times New Roman" w:hAnsi="Times New Roman"/>
          <w:b/>
          <w:bCs/>
          <w:noProof/>
          <w:szCs w:val="24"/>
        </w:rPr>
        <w:t xml:space="preserve">-a na </w:t>
      </w:r>
      <w:r w:rsidR="00A97532" w:rsidRPr="006022FE">
        <w:rPr>
          <w:rFonts w:ascii="Times New Roman" w:hAnsi="Times New Roman"/>
          <w:b/>
          <w:bCs/>
          <w:noProof/>
          <w:szCs w:val="24"/>
        </w:rPr>
        <w:t>temeljem</w:t>
      </w:r>
      <w:r w:rsidRPr="006022FE">
        <w:rPr>
          <w:rFonts w:ascii="Times New Roman" w:hAnsi="Times New Roman"/>
          <w:b/>
          <w:bCs/>
          <w:noProof/>
          <w:szCs w:val="24"/>
        </w:rPr>
        <w:t xml:space="preserve"> ugovornih obveza </w:t>
      </w:r>
      <w:r w:rsidR="00140A83" w:rsidRPr="006022FE">
        <w:rPr>
          <w:rFonts w:ascii="Times New Roman" w:hAnsi="Times New Roman"/>
          <w:bCs/>
          <w:noProof/>
          <w:szCs w:val="24"/>
        </w:rPr>
        <w:t>u</w:t>
      </w:r>
      <w:r w:rsidRPr="006022FE">
        <w:rPr>
          <w:rFonts w:ascii="Times New Roman" w:hAnsi="Times New Roman"/>
          <w:bCs/>
          <w:noProof/>
          <w:szCs w:val="24"/>
        </w:rPr>
        <w:t xml:space="preserve"> iznosu od </w:t>
      </w:r>
      <w:r w:rsidR="006022FE" w:rsidRPr="006022FE">
        <w:rPr>
          <w:rFonts w:ascii="Times New Roman" w:hAnsi="Times New Roman"/>
          <w:bCs/>
          <w:noProof/>
          <w:szCs w:val="24"/>
        </w:rPr>
        <w:t>9.509.254,09</w:t>
      </w:r>
      <w:r w:rsidRPr="006022FE">
        <w:rPr>
          <w:rFonts w:ascii="Times New Roman" w:hAnsi="Times New Roman"/>
          <w:bCs/>
          <w:noProof/>
          <w:szCs w:val="24"/>
        </w:rPr>
        <w:t xml:space="preserve"> €</w:t>
      </w:r>
      <w:r w:rsidR="00865BFC">
        <w:rPr>
          <w:rFonts w:ascii="Times New Roman" w:hAnsi="Times New Roman"/>
          <w:bCs/>
          <w:noProof/>
          <w:szCs w:val="24"/>
        </w:rPr>
        <w:t xml:space="preserve">, </w:t>
      </w:r>
      <w:r w:rsidRPr="006022FE">
        <w:rPr>
          <w:rFonts w:ascii="Times New Roman" w:hAnsi="Times New Roman"/>
          <w:bCs/>
          <w:noProof/>
          <w:szCs w:val="24"/>
        </w:rPr>
        <w:t>u cijelosti su ostvarili korisnici u zdravstvu</w:t>
      </w:r>
      <w:r w:rsidR="000D3C45" w:rsidRPr="006022FE">
        <w:rPr>
          <w:rFonts w:ascii="Times New Roman" w:hAnsi="Times New Roman"/>
          <w:bCs/>
          <w:noProof/>
          <w:szCs w:val="24"/>
        </w:rPr>
        <w:t>.</w:t>
      </w:r>
      <w:r w:rsidR="00B85A8C">
        <w:rPr>
          <w:rFonts w:ascii="Times New Roman" w:hAnsi="Times New Roman"/>
          <w:bCs/>
          <w:noProof/>
          <w:szCs w:val="24"/>
        </w:rPr>
        <w:t xml:space="preserve"> U odnosu na obračunsko razdoblje prošle godine znatno su smanjeni iz razloga prelaska Opće </w:t>
      </w:r>
      <w:r w:rsidR="00B0218D">
        <w:rPr>
          <w:rFonts w:ascii="Times New Roman" w:hAnsi="Times New Roman"/>
          <w:bCs/>
          <w:noProof/>
          <w:szCs w:val="24"/>
        </w:rPr>
        <w:t>b</w:t>
      </w:r>
      <w:r w:rsidR="00B85A8C">
        <w:rPr>
          <w:rFonts w:ascii="Times New Roman" w:hAnsi="Times New Roman"/>
          <w:bCs/>
          <w:noProof/>
          <w:szCs w:val="24"/>
        </w:rPr>
        <w:t>olnice</w:t>
      </w:r>
      <w:r w:rsidR="00B0218D">
        <w:rPr>
          <w:rFonts w:ascii="Times New Roman" w:hAnsi="Times New Roman"/>
          <w:bCs/>
          <w:noProof/>
          <w:szCs w:val="24"/>
        </w:rPr>
        <w:t xml:space="preserve"> Dr. Anđelko Višić</w:t>
      </w:r>
      <w:r w:rsidR="00B85A8C">
        <w:rPr>
          <w:rFonts w:ascii="Times New Roman" w:hAnsi="Times New Roman"/>
          <w:bCs/>
          <w:noProof/>
          <w:szCs w:val="24"/>
        </w:rPr>
        <w:t xml:space="preserve"> </w:t>
      </w:r>
      <w:r w:rsidR="00121E68">
        <w:rPr>
          <w:rFonts w:ascii="Times New Roman" w:hAnsi="Times New Roman"/>
          <w:bCs/>
          <w:noProof/>
          <w:szCs w:val="24"/>
        </w:rPr>
        <w:t>u</w:t>
      </w:r>
      <w:r w:rsidR="00B85A8C">
        <w:rPr>
          <w:rFonts w:ascii="Times New Roman" w:hAnsi="Times New Roman"/>
          <w:bCs/>
          <w:noProof/>
          <w:szCs w:val="24"/>
        </w:rPr>
        <w:t xml:space="preserve">  </w:t>
      </w:r>
      <w:r w:rsidR="00121E68">
        <w:rPr>
          <w:rFonts w:ascii="Times New Roman" w:hAnsi="Times New Roman"/>
          <w:bCs/>
          <w:noProof/>
          <w:szCs w:val="24"/>
        </w:rPr>
        <w:t>nadležnost Ministarstva</w:t>
      </w:r>
      <w:r w:rsidR="00B85A8C">
        <w:rPr>
          <w:rFonts w:ascii="Times New Roman" w:hAnsi="Times New Roman"/>
          <w:bCs/>
          <w:noProof/>
          <w:szCs w:val="24"/>
        </w:rPr>
        <w:t xml:space="preserve">. </w:t>
      </w:r>
    </w:p>
    <w:p w14:paraId="492BDB5D" w14:textId="2ECB3E77" w:rsidR="005C5D7F" w:rsidRDefault="000D3C45" w:rsidP="005C5D7F">
      <w:pPr>
        <w:spacing w:line="360" w:lineRule="auto"/>
        <w:ind w:firstLine="708"/>
        <w:jc w:val="both"/>
        <w:rPr>
          <w:rFonts w:ascii="Times New Roman" w:hAnsi="Times New Roman"/>
          <w:bCs/>
          <w:noProof/>
          <w:szCs w:val="24"/>
        </w:rPr>
      </w:pPr>
      <w:r w:rsidRPr="00DF068B">
        <w:rPr>
          <w:rFonts w:ascii="Times New Roman" w:hAnsi="Times New Roman"/>
          <w:bCs/>
          <w:noProof/>
          <w:szCs w:val="24"/>
        </w:rPr>
        <w:tab/>
      </w:r>
      <w:r w:rsidR="00874240" w:rsidRPr="00DF068B">
        <w:rPr>
          <w:rFonts w:ascii="Times New Roman" w:hAnsi="Times New Roman"/>
          <w:b/>
          <w:bCs/>
          <w:noProof/>
          <w:szCs w:val="24"/>
        </w:rPr>
        <w:t>(68) Kazne</w:t>
      </w:r>
      <w:r w:rsidR="000444C9">
        <w:rPr>
          <w:rFonts w:ascii="Times New Roman" w:hAnsi="Times New Roman"/>
          <w:b/>
          <w:bCs/>
          <w:noProof/>
          <w:szCs w:val="24"/>
        </w:rPr>
        <w:t>,</w:t>
      </w:r>
      <w:r w:rsidR="00874240" w:rsidRPr="00DF068B">
        <w:rPr>
          <w:rFonts w:ascii="Times New Roman" w:hAnsi="Times New Roman"/>
          <w:b/>
          <w:bCs/>
          <w:noProof/>
          <w:szCs w:val="24"/>
        </w:rPr>
        <w:t xml:space="preserve"> upravne mjere i ostali prihodi</w:t>
      </w:r>
      <w:r w:rsidR="00874240" w:rsidRPr="00DF068B">
        <w:rPr>
          <w:rFonts w:ascii="Times New Roman" w:hAnsi="Times New Roman"/>
          <w:bCs/>
          <w:noProof/>
          <w:szCs w:val="24"/>
        </w:rPr>
        <w:t xml:space="preserve"> ostvareni su iznosu </w:t>
      </w:r>
      <w:r w:rsidR="009309C4">
        <w:rPr>
          <w:rFonts w:ascii="Times New Roman" w:hAnsi="Times New Roman"/>
          <w:bCs/>
          <w:noProof/>
          <w:szCs w:val="24"/>
        </w:rPr>
        <w:t xml:space="preserve">182.654,34 € </w:t>
      </w:r>
      <w:r w:rsidR="00874240" w:rsidRPr="00DF068B">
        <w:rPr>
          <w:rFonts w:ascii="Times New Roman" w:hAnsi="Times New Roman"/>
          <w:bCs/>
          <w:noProof/>
          <w:szCs w:val="24"/>
        </w:rPr>
        <w:t xml:space="preserve">što je </w:t>
      </w:r>
      <w:r w:rsidR="009309C4">
        <w:rPr>
          <w:rFonts w:ascii="Times New Roman" w:hAnsi="Times New Roman"/>
          <w:bCs/>
          <w:noProof/>
          <w:szCs w:val="24"/>
        </w:rPr>
        <w:t xml:space="preserve">18,47 </w:t>
      </w:r>
      <w:r w:rsidR="00874240" w:rsidRPr="00DF068B">
        <w:rPr>
          <w:rFonts w:ascii="Times New Roman" w:hAnsi="Times New Roman"/>
          <w:bCs/>
          <w:noProof/>
          <w:szCs w:val="24"/>
        </w:rPr>
        <w:t xml:space="preserve">% </w:t>
      </w:r>
      <w:r w:rsidR="00EE5F42" w:rsidRPr="00DF068B">
        <w:rPr>
          <w:rFonts w:ascii="Times New Roman" w:hAnsi="Times New Roman"/>
          <w:bCs/>
          <w:noProof/>
          <w:szCs w:val="24"/>
        </w:rPr>
        <w:t>manje</w:t>
      </w:r>
      <w:r w:rsidR="00874240" w:rsidRPr="00DF068B">
        <w:rPr>
          <w:rFonts w:ascii="Times New Roman" w:hAnsi="Times New Roman"/>
          <w:bCs/>
          <w:noProof/>
          <w:szCs w:val="24"/>
        </w:rPr>
        <w:t xml:space="preserve"> u odnosu na ostvarenje promatranog razdoblja prošle godine</w:t>
      </w:r>
      <w:r w:rsidR="00EE5F42" w:rsidRPr="00DF068B">
        <w:rPr>
          <w:rFonts w:ascii="Times New Roman" w:hAnsi="Times New Roman"/>
          <w:bCs/>
          <w:noProof/>
          <w:szCs w:val="24"/>
        </w:rPr>
        <w:t xml:space="preserve">, a </w:t>
      </w:r>
      <w:r w:rsidR="009309C4">
        <w:rPr>
          <w:rFonts w:ascii="Times New Roman" w:hAnsi="Times New Roman"/>
          <w:bCs/>
          <w:noProof/>
          <w:szCs w:val="24"/>
        </w:rPr>
        <w:t>47,84</w:t>
      </w:r>
      <w:r w:rsidR="00EE5F42" w:rsidRPr="00DF068B">
        <w:rPr>
          <w:rFonts w:ascii="Times New Roman" w:hAnsi="Times New Roman"/>
          <w:bCs/>
          <w:noProof/>
          <w:szCs w:val="24"/>
        </w:rPr>
        <w:t xml:space="preserve"> % u odnosu na plan</w:t>
      </w:r>
      <w:r w:rsidR="002A09FA">
        <w:rPr>
          <w:rFonts w:ascii="Times New Roman" w:hAnsi="Times New Roman"/>
          <w:bCs/>
          <w:noProof/>
          <w:szCs w:val="24"/>
        </w:rPr>
        <w:t xml:space="preserve"> tekuće godine</w:t>
      </w:r>
      <w:r w:rsidR="00EE5F42" w:rsidRPr="00DF068B">
        <w:rPr>
          <w:rFonts w:ascii="Times New Roman" w:hAnsi="Times New Roman"/>
          <w:bCs/>
          <w:noProof/>
          <w:szCs w:val="24"/>
        </w:rPr>
        <w:t xml:space="preserve">. </w:t>
      </w:r>
      <w:r w:rsidR="00B732F7" w:rsidRPr="00DF068B">
        <w:rPr>
          <w:rFonts w:ascii="Times New Roman" w:hAnsi="Times New Roman"/>
          <w:bCs/>
          <w:noProof/>
          <w:szCs w:val="24"/>
        </w:rPr>
        <w:t>U okviru istih evidentirani su</w:t>
      </w:r>
      <w:r w:rsidR="00874240" w:rsidRPr="00DF068B">
        <w:rPr>
          <w:rFonts w:ascii="Times New Roman" w:hAnsi="Times New Roman"/>
          <w:bCs/>
          <w:noProof/>
          <w:szCs w:val="24"/>
        </w:rPr>
        <w:t xml:space="preserve"> prihodi </w:t>
      </w:r>
      <w:r w:rsidR="00B732F7" w:rsidRPr="00DF068B">
        <w:rPr>
          <w:rFonts w:ascii="Times New Roman" w:hAnsi="Times New Roman"/>
          <w:bCs/>
          <w:noProof/>
          <w:szCs w:val="24"/>
        </w:rPr>
        <w:t xml:space="preserve">od </w:t>
      </w:r>
      <w:r w:rsidR="00874240" w:rsidRPr="00DF068B">
        <w:rPr>
          <w:rFonts w:ascii="Times New Roman" w:hAnsi="Times New Roman"/>
          <w:bCs/>
          <w:noProof/>
          <w:szCs w:val="24"/>
        </w:rPr>
        <w:t>povrata stipendija</w:t>
      </w:r>
      <w:r w:rsidR="00B732F7" w:rsidRPr="00DF068B">
        <w:rPr>
          <w:rFonts w:ascii="Times New Roman" w:hAnsi="Times New Roman"/>
          <w:bCs/>
          <w:noProof/>
          <w:szCs w:val="24"/>
        </w:rPr>
        <w:t xml:space="preserve"> u proračun</w:t>
      </w:r>
      <w:r w:rsidR="005C5D7F" w:rsidRPr="00DF068B">
        <w:rPr>
          <w:rFonts w:ascii="Times New Roman" w:hAnsi="Times New Roman"/>
          <w:bCs/>
          <w:noProof/>
          <w:szCs w:val="24"/>
        </w:rPr>
        <w:t xml:space="preserve"> </w:t>
      </w:r>
      <w:r w:rsidR="00B732F7" w:rsidRPr="00DF068B">
        <w:rPr>
          <w:rFonts w:ascii="Times New Roman" w:hAnsi="Times New Roman"/>
          <w:bCs/>
          <w:noProof/>
          <w:szCs w:val="24"/>
        </w:rPr>
        <w:t>i ostv</w:t>
      </w:r>
      <w:r w:rsidR="00EF4CDA" w:rsidRPr="00DF068B">
        <w:rPr>
          <w:rFonts w:ascii="Times New Roman" w:hAnsi="Times New Roman"/>
          <w:bCs/>
          <w:noProof/>
          <w:szCs w:val="24"/>
        </w:rPr>
        <w:t>a</w:t>
      </w:r>
      <w:r w:rsidR="00B732F7" w:rsidRPr="00DF068B">
        <w:rPr>
          <w:rFonts w:ascii="Times New Roman" w:hAnsi="Times New Roman"/>
          <w:bCs/>
          <w:noProof/>
          <w:szCs w:val="24"/>
        </w:rPr>
        <w:t xml:space="preserve">renje prihoda </w:t>
      </w:r>
      <w:r w:rsidR="00874240" w:rsidRPr="00DF068B">
        <w:rPr>
          <w:rFonts w:ascii="Times New Roman" w:hAnsi="Times New Roman"/>
          <w:bCs/>
          <w:noProof/>
          <w:szCs w:val="24"/>
        </w:rPr>
        <w:t>s ostalih osnova</w:t>
      </w:r>
      <w:r w:rsidR="005C5D7F" w:rsidRPr="00DF068B">
        <w:rPr>
          <w:rFonts w:ascii="Times New Roman" w:hAnsi="Times New Roman"/>
          <w:bCs/>
          <w:noProof/>
          <w:szCs w:val="24"/>
        </w:rPr>
        <w:t>.</w:t>
      </w:r>
    </w:p>
    <w:p w14:paraId="462820EA" w14:textId="77777777" w:rsidR="008A0D6F" w:rsidRDefault="008A0D6F" w:rsidP="005C5D7F">
      <w:pPr>
        <w:spacing w:line="360" w:lineRule="auto"/>
        <w:ind w:firstLine="708"/>
        <w:jc w:val="both"/>
        <w:rPr>
          <w:rFonts w:ascii="Times New Roman" w:hAnsi="Times New Roman"/>
          <w:bCs/>
          <w:noProof/>
          <w:szCs w:val="24"/>
        </w:rPr>
      </w:pPr>
    </w:p>
    <w:p w14:paraId="7B6D355C" w14:textId="2CF95D6E" w:rsidR="008A0D6F" w:rsidRDefault="008A0D6F" w:rsidP="005C5D7F">
      <w:pPr>
        <w:spacing w:line="360" w:lineRule="auto"/>
        <w:ind w:firstLine="708"/>
        <w:jc w:val="both"/>
        <w:rPr>
          <w:rFonts w:ascii="Times New Roman" w:hAnsi="Times New Roman"/>
          <w:bCs/>
          <w:iCs/>
          <w:szCs w:val="24"/>
        </w:rPr>
      </w:pPr>
      <w:r w:rsidRPr="0098239A">
        <w:rPr>
          <w:rFonts w:ascii="Times New Roman" w:hAnsi="Times New Roman"/>
          <w:b/>
          <w:i/>
          <w:szCs w:val="24"/>
        </w:rPr>
        <w:t xml:space="preserve">Prihodi </w:t>
      </w:r>
      <w:r>
        <w:rPr>
          <w:rFonts w:ascii="Times New Roman" w:hAnsi="Times New Roman"/>
          <w:b/>
          <w:i/>
          <w:szCs w:val="24"/>
        </w:rPr>
        <w:t xml:space="preserve">od prodaje nefinancijske imovine </w:t>
      </w:r>
      <w:r>
        <w:rPr>
          <w:rFonts w:ascii="Times New Roman" w:hAnsi="Times New Roman"/>
          <w:bCs/>
          <w:iCs/>
          <w:szCs w:val="24"/>
        </w:rPr>
        <w:t>ostvareni su u ukupnom iznosu od 47.415,73 € što je ostvarenje od 82,13% u odnosu na plan tekuće godine a</w:t>
      </w:r>
      <w:r w:rsidR="00121E68">
        <w:rPr>
          <w:rFonts w:ascii="Times New Roman" w:hAnsi="Times New Roman"/>
          <w:bCs/>
          <w:iCs/>
          <w:szCs w:val="24"/>
        </w:rPr>
        <w:t xml:space="preserve"> </w:t>
      </w:r>
      <w:r>
        <w:rPr>
          <w:rFonts w:ascii="Times New Roman" w:hAnsi="Times New Roman"/>
          <w:bCs/>
          <w:iCs/>
          <w:szCs w:val="24"/>
        </w:rPr>
        <w:t>14,09% manje u odnosu na ostvarenje prethodne godine.</w:t>
      </w:r>
    </w:p>
    <w:p w14:paraId="1E9749DD" w14:textId="77777777" w:rsidR="00121E68" w:rsidRPr="008A0D6F" w:rsidRDefault="00121E68" w:rsidP="005C5D7F">
      <w:pPr>
        <w:spacing w:line="360" w:lineRule="auto"/>
        <w:ind w:firstLine="708"/>
        <w:jc w:val="both"/>
        <w:rPr>
          <w:rFonts w:ascii="Times New Roman" w:hAnsi="Times New Roman"/>
          <w:bCs/>
          <w:iCs/>
          <w:noProof/>
          <w:szCs w:val="24"/>
        </w:rPr>
      </w:pPr>
    </w:p>
    <w:p w14:paraId="328B6A4F" w14:textId="19A57473" w:rsidR="00CF5E24" w:rsidRPr="00B85A8C" w:rsidRDefault="003550E5" w:rsidP="00084280">
      <w:pPr>
        <w:tabs>
          <w:tab w:val="left" w:pos="709"/>
          <w:tab w:val="center" w:pos="6663"/>
        </w:tabs>
        <w:spacing w:line="360" w:lineRule="auto"/>
        <w:jc w:val="both"/>
        <w:rPr>
          <w:rFonts w:ascii="Times New Roman" w:hAnsi="Times New Roman"/>
          <w:bCs/>
          <w:noProof/>
          <w:szCs w:val="24"/>
        </w:rPr>
      </w:pPr>
      <w:r w:rsidRPr="00DA2A6D">
        <w:rPr>
          <w:rFonts w:ascii="Times New Roman" w:hAnsi="Times New Roman"/>
          <w:bCs/>
          <w:noProof/>
          <w:szCs w:val="24"/>
        </w:rPr>
        <w:tab/>
      </w:r>
      <w:r w:rsidR="00FA3359" w:rsidRPr="00DA2A6D">
        <w:rPr>
          <w:rFonts w:ascii="Times New Roman" w:hAnsi="Times New Roman"/>
          <w:b/>
          <w:bCs/>
          <w:noProof/>
          <w:szCs w:val="24"/>
        </w:rPr>
        <w:t xml:space="preserve"> (71)</w:t>
      </w:r>
      <w:r w:rsidR="00FA3359" w:rsidRPr="00DA2A6D">
        <w:rPr>
          <w:rFonts w:ascii="Times New Roman" w:hAnsi="Times New Roman"/>
          <w:bCs/>
          <w:noProof/>
          <w:szCs w:val="24"/>
        </w:rPr>
        <w:t xml:space="preserve"> </w:t>
      </w:r>
      <w:r w:rsidR="00FA3359" w:rsidRPr="00DA2A6D">
        <w:rPr>
          <w:rFonts w:ascii="Times New Roman" w:hAnsi="Times New Roman"/>
          <w:b/>
          <w:bCs/>
          <w:noProof/>
          <w:szCs w:val="24"/>
        </w:rPr>
        <w:t xml:space="preserve">Prihodi od prodaje </w:t>
      </w:r>
      <w:r w:rsidR="001527C2" w:rsidRPr="00DA2A6D">
        <w:rPr>
          <w:rFonts w:ascii="Times New Roman" w:hAnsi="Times New Roman"/>
          <w:b/>
          <w:bCs/>
          <w:noProof/>
          <w:szCs w:val="24"/>
        </w:rPr>
        <w:t>neproizved</w:t>
      </w:r>
      <w:r w:rsidR="00A950B6" w:rsidRPr="00DA2A6D">
        <w:rPr>
          <w:rFonts w:ascii="Times New Roman" w:hAnsi="Times New Roman"/>
          <w:b/>
          <w:bCs/>
          <w:noProof/>
          <w:szCs w:val="24"/>
        </w:rPr>
        <w:t>e</w:t>
      </w:r>
      <w:r w:rsidR="001527C2" w:rsidRPr="00DA2A6D">
        <w:rPr>
          <w:rFonts w:ascii="Times New Roman" w:hAnsi="Times New Roman"/>
          <w:b/>
          <w:bCs/>
          <w:noProof/>
          <w:szCs w:val="24"/>
        </w:rPr>
        <w:t>ne</w:t>
      </w:r>
      <w:r w:rsidR="00FA3359" w:rsidRPr="00DA2A6D">
        <w:rPr>
          <w:rFonts w:ascii="Times New Roman" w:hAnsi="Times New Roman"/>
          <w:b/>
          <w:bCs/>
          <w:noProof/>
          <w:szCs w:val="24"/>
        </w:rPr>
        <w:t xml:space="preserve"> dugotrajne imovine</w:t>
      </w:r>
      <w:r w:rsidR="00660A30" w:rsidRPr="00DA2A6D">
        <w:rPr>
          <w:rFonts w:ascii="Times New Roman" w:hAnsi="Times New Roman"/>
          <w:b/>
          <w:bCs/>
          <w:noProof/>
          <w:szCs w:val="24"/>
        </w:rPr>
        <w:t xml:space="preserve"> </w:t>
      </w:r>
      <w:r w:rsidR="00660A30" w:rsidRPr="00DA2A6D">
        <w:rPr>
          <w:rFonts w:ascii="Times New Roman" w:hAnsi="Times New Roman"/>
          <w:bCs/>
          <w:noProof/>
          <w:szCs w:val="24"/>
        </w:rPr>
        <w:t>od</w:t>
      </w:r>
      <w:r w:rsidR="00DC626F" w:rsidRPr="00DA2A6D">
        <w:rPr>
          <w:rFonts w:ascii="Times New Roman" w:hAnsi="Times New Roman"/>
          <w:bCs/>
          <w:noProof/>
          <w:szCs w:val="24"/>
        </w:rPr>
        <w:t>nos</w:t>
      </w:r>
      <w:r w:rsidR="00946AF6">
        <w:rPr>
          <w:rFonts w:ascii="Times New Roman" w:hAnsi="Times New Roman"/>
          <w:bCs/>
          <w:noProof/>
          <w:szCs w:val="24"/>
        </w:rPr>
        <w:t>e</w:t>
      </w:r>
      <w:r w:rsidR="00DC626F" w:rsidRPr="00DA2A6D">
        <w:rPr>
          <w:rFonts w:ascii="Times New Roman" w:hAnsi="Times New Roman"/>
          <w:bCs/>
          <w:noProof/>
          <w:szCs w:val="24"/>
        </w:rPr>
        <w:t xml:space="preserve"> se na prihod od prodaje</w:t>
      </w:r>
      <w:r w:rsidR="00DC626F" w:rsidRPr="00B85A8C">
        <w:rPr>
          <w:rFonts w:ascii="Times New Roman" w:hAnsi="Times New Roman"/>
          <w:bCs/>
          <w:noProof/>
          <w:szCs w:val="24"/>
        </w:rPr>
        <w:t xml:space="preserve"> poljoprivrednog zemljišta</w:t>
      </w:r>
      <w:r w:rsidR="000663FD">
        <w:rPr>
          <w:rFonts w:ascii="Times New Roman" w:hAnsi="Times New Roman"/>
          <w:bCs/>
          <w:noProof/>
          <w:szCs w:val="24"/>
        </w:rPr>
        <w:t xml:space="preserve"> i u padu su u odnosu na isto obračunsko razdoblje prošle godine</w:t>
      </w:r>
      <w:r w:rsidR="00987C22">
        <w:rPr>
          <w:rFonts w:ascii="Times New Roman" w:hAnsi="Times New Roman"/>
          <w:bCs/>
          <w:noProof/>
          <w:szCs w:val="24"/>
        </w:rPr>
        <w:t xml:space="preserve">, a u odnosu na plan ostvarenje je </w:t>
      </w:r>
      <w:r w:rsidR="00E21C66">
        <w:rPr>
          <w:rFonts w:ascii="Times New Roman" w:hAnsi="Times New Roman"/>
          <w:bCs/>
          <w:noProof/>
          <w:szCs w:val="24"/>
        </w:rPr>
        <w:t>18,3</w:t>
      </w:r>
      <w:r w:rsidR="001C4D57">
        <w:rPr>
          <w:rFonts w:ascii="Times New Roman" w:hAnsi="Times New Roman"/>
          <w:bCs/>
          <w:noProof/>
          <w:szCs w:val="24"/>
        </w:rPr>
        <w:t>%.</w:t>
      </w:r>
      <w:r w:rsidR="00012EDC" w:rsidRPr="00B85A8C">
        <w:rPr>
          <w:rFonts w:ascii="Times New Roman" w:hAnsi="Times New Roman"/>
          <w:bCs/>
          <w:noProof/>
          <w:szCs w:val="24"/>
        </w:rPr>
        <w:tab/>
      </w:r>
    </w:p>
    <w:p w14:paraId="799D387A" w14:textId="77777777" w:rsidR="00121E68" w:rsidRDefault="00711F63" w:rsidP="00711F63">
      <w:pPr>
        <w:tabs>
          <w:tab w:val="left" w:pos="709"/>
          <w:tab w:val="center" w:pos="6663"/>
        </w:tabs>
        <w:spacing w:line="360" w:lineRule="auto"/>
        <w:jc w:val="both"/>
        <w:rPr>
          <w:rFonts w:ascii="Times New Roman" w:hAnsi="Times New Roman"/>
          <w:bCs/>
          <w:noProof/>
          <w:szCs w:val="24"/>
        </w:rPr>
      </w:pPr>
      <w:r w:rsidRPr="000663FD">
        <w:rPr>
          <w:rFonts w:ascii="Times New Roman" w:hAnsi="Times New Roman"/>
          <w:bCs/>
          <w:noProof/>
          <w:szCs w:val="24"/>
        </w:rPr>
        <w:tab/>
        <w:t xml:space="preserve"> </w:t>
      </w:r>
      <w:r w:rsidR="00012EDC" w:rsidRPr="001C4D57">
        <w:rPr>
          <w:rFonts w:ascii="Times New Roman" w:hAnsi="Times New Roman"/>
          <w:bCs/>
          <w:noProof/>
          <w:szCs w:val="24"/>
        </w:rPr>
        <w:t>(</w:t>
      </w:r>
      <w:r w:rsidR="00012EDC" w:rsidRPr="001C4D57">
        <w:rPr>
          <w:rFonts w:ascii="Times New Roman" w:hAnsi="Times New Roman"/>
          <w:b/>
          <w:bCs/>
          <w:noProof/>
          <w:szCs w:val="24"/>
        </w:rPr>
        <w:t>72)</w:t>
      </w:r>
      <w:r w:rsidR="00CF5E24" w:rsidRPr="001C4D57">
        <w:rPr>
          <w:rFonts w:ascii="Times New Roman" w:hAnsi="Times New Roman"/>
          <w:b/>
          <w:bCs/>
          <w:noProof/>
          <w:szCs w:val="24"/>
        </w:rPr>
        <w:t xml:space="preserve"> Prihodi od prodaje proizvedene dugo</w:t>
      </w:r>
      <w:r w:rsidR="00A97532" w:rsidRPr="001C4D57">
        <w:rPr>
          <w:rFonts w:ascii="Times New Roman" w:hAnsi="Times New Roman"/>
          <w:b/>
          <w:bCs/>
          <w:noProof/>
          <w:szCs w:val="24"/>
        </w:rPr>
        <w:t>t</w:t>
      </w:r>
      <w:r w:rsidR="00CF5E24" w:rsidRPr="001C4D57">
        <w:rPr>
          <w:rFonts w:ascii="Times New Roman" w:hAnsi="Times New Roman"/>
          <w:b/>
          <w:bCs/>
          <w:noProof/>
          <w:szCs w:val="24"/>
        </w:rPr>
        <w:t>rajne imovine</w:t>
      </w:r>
      <w:r w:rsidR="00077EAB" w:rsidRPr="001C4D57">
        <w:rPr>
          <w:rFonts w:ascii="Times New Roman" w:hAnsi="Times New Roman"/>
          <w:b/>
          <w:bCs/>
          <w:noProof/>
          <w:szCs w:val="24"/>
        </w:rPr>
        <w:t xml:space="preserve"> </w:t>
      </w:r>
      <w:r w:rsidR="00077EAB" w:rsidRPr="001C4D57">
        <w:rPr>
          <w:rFonts w:ascii="Times New Roman" w:hAnsi="Times New Roman"/>
          <w:bCs/>
          <w:noProof/>
          <w:szCs w:val="24"/>
        </w:rPr>
        <w:t>odnos</w:t>
      </w:r>
      <w:r w:rsidR="008179D9">
        <w:rPr>
          <w:rFonts w:ascii="Times New Roman" w:hAnsi="Times New Roman"/>
          <w:bCs/>
          <w:noProof/>
          <w:szCs w:val="24"/>
        </w:rPr>
        <w:t>e</w:t>
      </w:r>
      <w:r w:rsidR="00077EAB" w:rsidRPr="001C4D57">
        <w:rPr>
          <w:rFonts w:ascii="Times New Roman" w:hAnsi="Times New Roman"/>
          <w:bCs/>
          <w:noProof/>
          <w:szCs w:val="24"/>
        </w:rPr>
        <w:t xml:space="preserve"> se </w:t>
      </w:r>
      <w:r w:rsidR="00E8174A" w:rsidRPr="001C4D57">
        <w:rPr>
          <w:rFonts w:ascii="Times New Roman" w:hAnsi="Times New Roman"/>
          <w:bCs/>
          <w:noProof/>
          <w:szCs w:val="24"/>
        </w:rPr>
        <w:t xml:space="preserve">na </w:t>
      </w:r>
      <w:r w:rsidR="008355C8">
        <w:rPr>
          <w:rFonts w:ascii="Times New Roman" w:hAnsi="Times New Roman"/>
          <w:bCs/>
          <w:noProof/>
          <w:szCs w:val="24"/>
        </w:rPr>
        <w:t xml:space="preserve">prodaju, odnosno </w:t>
      </w:r>
      <w:r w:rsidR="00E8174A" w:rsidRPr="001C4D57">
        <w:rPr>
          <w:rFonts w:ascii="Times New Roman" w:hAnsi="Times New Roman"/>
          <w:bCs/>
          <w:noProof/>
          <w:szCs w:val="24"/>
        </w:rPr>
        <w:t xml:space="preserve">obročnu otplatu </w:t>
      </w:r>
      <w:r w:rsidR="00E8174A" w:rsidRPr="008355C8">
        <w:rPr>
          <w:rFonts w:ascii="Times New Roman" w:hAnsi="Times New Roman"/>
          <w:bCs/>
          <w:noProof/>
          <w:szCs w:val="24"/>
        </w:rPr>
        <w:t>stanova</w:t>
      </w:r>
      <w:r w:rsidR="00B7590D">
        <w:rPr>
          <w:rFonts w:ascii="Times New Roman" w:hAnsi="Times New Roman"/>
          <w:bCs/>
          <w:noProof/>
          <w:szCs w:val="24"/>
        </w:rPr>
        <w:t xml:space="preserve"> za zaposlene</w:t>
      </w:r>
      <w:r w:rsidR="00E8174A" w:rsidRPr="008355C8">
        <w:rPr>
          <w:rFonts w:ascii="Times New Roman" w:hAnsi="Times New Roman"/>
          <w:bCs/>
          <w:noProof/>
          <w:szCs w:val="24"/>
        </w:rPr>
        <w:t xml:space="preserve"> kod proračunskih korisnika</w:t>
      </w:r>
      <w:r w:rsidR="0002668C" w:rsidRPr="008355C8">
        <w:rPr>
          <w:rFonts w:ascii="Times New Roman" w:hAnsi="Times New Roman"/>
          <w:bCs/>
          <w:noProof/>
          <w:szCs w:val="24"/>
        </w:rPr>
        <w:t xml:space="preserve"> u iznosu</w:t>
      </w:r>
      <w:r w:rsidR="00E8174A" w:rsidRPr="008355C8">
        <w:rPr>
          <w:rFonts w:ascii="Times New Roman" w:hAnsi="Times New Roman"/>
          <w:bCs/>
          <w:noProof/>
          <w:szCs w:val="24"/>
        </w:rPr>
        <w:t xml:space="preserve"> </w:t>
      </w:r>
      <w:r w:rsidR="008355C8" w:rsidRPr="008355C8">
        <w:rPr>
          <w:rFonts w:ascii="Times New Roman" w:hAnsi="Times New Roman"/>
          <w:bCs/>
          <w:noProof/>
          <w:szCs w:val="24"/>
        </w:rPr>
        <w:t>28.010,78</w:t>
      </w:r>
      <w:r w:rsidR="00E8174A" w:rsidRPr="008355C8">
        <w:rPr>
          <w:rFonts w:ascii="Times New Roman" w:hAnsi="Times New Roman"/>
          <w:bCs/>
          <w:noProof/>
          <w:szCs w:val="24"/>
        </w:rPr>
        <w:t xml:space="preserve"> €,</w:t>
      </w:r>
      <w:r w:rsidR="00AB04D8">
        <w:rPr>
          <w:rFonts w:ascii="Times New Roman" w:hAnsi="Times New Roman"/>
          <w:bCs/>
          <w:noProof/>
          <w:szCs w:val="24"/>
        </w:rPr>
        <w:t xml:space="preserve"> </w:t>
      </w:r>
      <w:r w:rsidR="00E8174A" w:rsidRPr="008355C8">
        <w:rPr>
          <w:rFonts w:ascii="Times New Roman" w:hAnsi="Times New Roman"/>
          <w:bCs/>
          <w:noProof/>
          <w:szCs w:val="24"/>
        </w:rPr>
        <w:t xml:space="preserve"> prodaju ostale uredske opreme i namještaja u iznosu od </w:t>
      </w:r>
      <w:r w:rsidR="008355C8" w:rsidRPr="008355C8">
        <w:rPr>
          <w:rFonts w:ascii="Times New Roman" w:hAnsi="Times New Roman"/>
          <w:bCs/>
          <w:noProof/>
          <w:szCs w:val="24"/>
        </w:rPr>
        <w:t>1.245,00</w:t>
      </w:r>
      <w:r w:rsidR="00E8174A" w:rsidRPr="008355C8">
        <w:rPr>
          <w:rFonts w:ascii="Times New Roman" w:hAnsi="Times New Roman"/>
          <w:bCs/>
          <w:noProof/>
          <w:szCs w:val="24"/>
        </w:rPr>
        <w:t xml:space="preserve"> €</w:t>
      </w:r>
      <w:r w:rsidR="006A6F14">
        <w:rPr>
          <w:rFonts w:ascii="Times New Roman" w:hAnsi="Times New Roman"/>
          <w:bCs/>
          <w:noProof/>
          <w:szCs w:val="24"/>
        </w:rPr>
        <w:t xml:space="preserve"> te </w:t>
      </w:r>
      <w:r w:rsidR="00E8174A" w:rsidRPr="008355C8">
        <w:rPr>
          <w:rFonts w:ascii="Times New Roman" w:hAnsi="Times New Roman"/>
          <w:bCs/>
          <w:noProof/>
          <w:szCs w:val="24"/>
        </w:rPr>
        <w:t>prodaj</w:t>
      </w:r>
      <w:r w:rsidR="004129A6">
        <w:rPr>
          <w:rFonts w:ascii="Times New Roman" w:hAnsi="Times New Roman"/>
          <w:bCs/>
          <w:noProof/>
          <w:szCs w:val="24"/>
        </w:rPr>
        <w:t>u</w:t>
      </w:r>
      <w:r w:rsidR="00E8174A" w:rsidRPr="008355C8">
        <w:rPr>
          <w:rFonts w:ascii="Times New Roman" w:hAnsi="Times New Roman"/>
          <w:bCs/>
          <w:noProof/>
          <w:szCs w:val="24"/>
        </w:rPr>
        <w:t xml:space="preserve"> osobnog automobila u iznosu od </w:t>
      </w:r>
      <w:r w:rsidR="008355C8" w:rsidRPr="008355C8">
        <w:rPr>
          <w:rFonts w:ascii="Times New Roman" w:hAnsi="Times New Roman"/>
          <w:bCs/>
          <w:noProof/>
          <w:szCs w:val="24"/>
        </w:rPr>
        <w:t>8.430,00</w:t>
      </w:r>
      <w:r w:rsidR="00E8174A" w:rsidRPr="008355C8">
        <w:rPr>
          <w:rFonts w:ascii="Times New Roman" w:hAnsi="Times New Roman"/>
          <w:bCs/>
          <w:noProof/>
          <w:szCs w:val="24"/>
        </w:rPr>
        <w:t xml:space="preserve"> €.</w:t>
      </w:r>
    </w:p>
    <w:p w14:paraId="6EC95F83" w14:textId="77777777" w:rsidR="00121E68" w:rsidRDefault="00121E68" w:rsidP="00711F63">
      <w:pPr>
        <w:tabs>
          <w:tab w:val="left" w:pos="709"/>
          <w:tab w:val="center" w:pos="6663"/>
        </w:tabs>
        <w:spacing w:line="360" w:lineRule="auto"/>
        <w:jc w:val="both"/>
        <w:rPr>
          <w:rFonts w:ascii="Times New Roman" w:hAnsi="Times New Roman"/>
          <w:bCs/>
          <w:noProof/>
          <w:szCs w:val="24"/>
        </w:rPr>
      </w:pPr>
    </w:p>
    <w:p w14:paraId="5AC517B2" w14:textId="77777777" w:rsidR="00121E68" w:rsidRDefault="00121E68" w:rsidP="00711F63">
      <w:pPr>
        <w:tabs>
          <w:tab w:val="left" w:pos="709"/>
          <w:tab w:val="center" w:pos="6663"/>
        </w:tabs>
        <w:spacing w:line="360" w:lineRule="auto"/>
        <w:jc w:val="both"/>
        <w:rPr>
          <w:rFonts w:ascii="Times New Roman" w:hAnsi="Times New Roman"/>
          <w:bCs/>
          <w:noProof/>
          <w:szCs w:val="24"/>
        </w:rPr>
      </w:pPr>
      <w:r>
        <w:rPr>
          <w:rFonts w:ascii="Times New Roman" w:hAnsi="Times New Roman"/>
          <w:bCs/>
          <w:noProof/>
          <w:szCs w:val="24"/>
        </w:rPr>
        <w:tab/>
      </w:r>
      <w:r>
        <w:rPr>
          <w:rFonts w:ascii="Times New Roman" w:hAnsi="Times New Roman"/>
          <w:b/>
          <w:i/>
          <w:szCs w:val="24"/>
        </w:rPr>
        <w:t xml:space="preserve">Rashodi poslovanja </w:t>
      </w:r>
      <w:r w:rsidRPr="00121E68">
        <w:rPr>
          <w:rFonts w:ascii="Times New Roman" w:hAnsi="Times New Roman"/>
          <w:bCs/>
          <w:iCs/>
          <w:szCs w:val="24"/>
        </w:rPr>
        <w:t>ostvareni su u ukupnom iznosu</w:t>
      </w:r>
      <w:r>
        <w:rPr>
          <w:rFonts w:ascii="Times New Roman" w:hAnsi="Times New Roman"/>
          <w:bCs/>
          <w:noProof/>
          <w:szCs w:val="24"/>
        </w:rPr>
        <w:t xml:space="preserve"> od 46.061.643,52 €, odnosno 55,14% u odnosu na plan tekuće godine. </w:t>
      </w:r>
    </w:p>
    <w:p w14:paraId="297A2547" w14:textId="2EB46CF7" w:rsidR="00EA5A5C" w:rsidRPr="000663FD" w:rsidRDefault="00FA3359" w:rsidP="00711F63">
      <w:pPr>
        <w:tabs>
          <w:tab w:val="left" w:pos="709"/>
          <w:tab w:val="center" w:pos="6663"/>
        </w:tabs>
        <w:spacing w:line="360" w:lineRule="auto"/>
        <w:jc w:val="both"/>
        <w:rPr>
          <w:rFonts w:ascii="Times New Roman" w:hAnsi="Times New Roman"/>
          <w:bCs/>
          <w:noProof/>
          <w:szCs w:val="24"/>
        </w:rPr>
      </w:pPr>
      <w:r w:rsidRPr="000663FD">
        <w:rPr>
          <w:rFonts w:ascii="Times New Roman" w:hAnsi="Times New Roman"/>
          <w:bCs/>
          <w:noProof/>
          <w:szCs w:val="24"/>
        </w:rPr>
        <w:lastRenderedPageBreak/>
        <w:tab/>
      </w:r>
    </w:p>
    <w:p w14:paraId="465CE694" w14:textId="10022408" w:rsidR="00A01C28" w:rsidRPr="00B4491C" w:rsidRDefault="00FA3359" w:rsidP="00711F63">
      <w:pPr>
        <w:tabs>
          <w:tab w:val="left" w:pos="709"/>
          <w:tab w:val="center" w:pos="6663"/>
        </w:tabs>
        <w:spacing w:line="360" w:lineRule="auto"/>
        <w:jc w:val="both"/>
        <w:rPr>
          <w:rFonts w:ascii="Times New Roman" w:hAnsi="Times New Roman"/>
          <w:bCs/>
          <w:noProof/>
          <w:szCs w:val="24"/>
        </w:rPr>
      </w:pPr>
      <w:r w:rsidRPr="006A6F14">
        <w:rPr>
          <w:rFonts w:ascii="Times New Roman" w:hAnsi="Times New Roman"/>
          <w:bCs/>
          <w:noProof/>
          <w:szCs w:val="24"/>
        </w:rPr>
        <w:tab/>
      </w:r>
      <w:r w:rsidR="009836EB" w:rsidRPr="006A6F14">
        <w:rPr>
          <w:rFonts w:ascii="Times New Roman" w:hAnsi="Times New Roman"/>
          <w:bCs/>
          <w:noProof/>
          <w:szCs w:val="24"/>
        </w:rPr>
        <w:t xml:space="preserve"> </w:t>
      </w:r>
      <w:r w:rsidR="009836EB" w:rsidRPr="006A6F14">
        <w:rPr>
          <w:rFonts w:ascii="Times New Roman" w:hAnsi="Times New Roman"/>
          <w:bCs/>
          <w:noProof/>
          <w:szCs w:val="24"/>
        </w:rPr>
        <w:tab/>
      </w:r>
      <w:r w:rsidR="009836EB" w:rsidRPr="006A6F14">
        <w:rPr>
          <w:rFonts w:ascii="Times New Roman" w:hAnsi="Times New Roman"/>
          <w:b/>
          <w:bCs/>
          <w:noProof/>
          <w:szCs w:val="24"/>
        </w:rPr>
        <w:t xml:space="preserve">(31) Rashodi za zaposlene </w:t>
      </w:r>
      <w:r w:rsidR="0088182A" w:rsidRPr="006A6F14">
        <w:rPr>
          <w:rFonts w:ascii="Times New Roman" w:hAnsi="Times New Roman"/>
          <w:bCs/>
          <w:noProof/>
          <w:szCs w:val="24"/>
        </w:rPr>
        <w:t>u odnosu na promatrano razdoblje prethodne godine</w:t>
      </w:r>
      <w:r w:rsidR="00E03941">
        <w:rPr>
          <w:rFonts w:ascii="Times New Roman" w:hAnsi="Times New Roman"/>
          <w:bCs/>
          <w:noProof/>
          <w:szCs w:val="24"/>
        </w:rPr>
        <w:t xml:space="preserve"> na ukupnoj razini </w:t>
      </w:r>
      <w:r w:rsidR="002635D0">
        <w:rPr>
          <w:rFonts w:ascii="Times New Roman" w:hAnsi="Times New Roman"/>
          <w:bCs/>
          <w:noProof/>
          <w:szCs w:val="24"/>
        </w:rPr>
        <w:t xml:space="preserve">bilježe pad od </w:t>
      </w:r>
      <w:r w:rsidR="00121E68">
        <w:rPr>
          <w:rFonts w:ascii="Times New Roman" w:hAnsi="Times New Roman"/>
          <w:bCs/>
          <w:noProof/>
          <w:szCs w:val="24"/>
        </w:rPr>
        <w:t>11,68</w:t>
      </w:r>
      <w:r w:rsidR="002635D0">
        <w:rPr>
          <w:rFonts w:ascii="Times New Roman" w:hAnsi="Times New Roman"/>
          <w:bCs/>
          <w:noProof/>
          <w:szCs w:val="24"/>
        </w:rPr>
        <w:t>% iz</w:t>
      </w:r>
      <w:r w:rsidR="00121E68">
        <w:rPr>
          <w:rFonts w:ascii="Times New Roman" w:hAnsi="Times New Roman"/>
          <w:bCs/>
          <w:noProof/>
          <w:szCs w:val="24"/>
        </w:rPr>
        <w:t xml:space="preserve"> već ranije spomenutog</w:t>
      </w:r>
      <w:r w:rsidR="002635D0">
        <w:rPr>
          <w:rFonts w:ascii="Times New Roman" w:hAnsi="Times New Roman"/>
          <w:bCs/>
          <w:noProof/>
          <w:szCs w:val="24"/>
        </w:rPr>
        <w:t xml:space="preserve"> prelaska Opće bolnice </w:t>
      </w:r>
      <w:r w:rsidR="00121E68">
        <w:rPr>
          <w:rFonts w:ascii="Times New Roman" w:hAnsi="Times New Roman"/>
          <w:bCs/>
          <w:noProof/>
          <w:szCs w:val="24"/>
        </w:rPr>
        <w:t>dr. Anđelko Višić</w:t>
      </w:r>
      <w:r w:rsidR="002635D0">
        <w:rPr>
          <w:rFonts w:ascii="Times New Roman" w:hAnsi="Times New Roman"/>
          <w:bCs/>
          <w:noProof/>
          <w:szCs w:val="24"/>
        </w:rPr>
        <w:t xml:space="preserve"> </w:t>
      </w:r>
      <w:r w:rsidR="00C8479C">
        <w:rPr>
          <w:rFonts w:ascii="Times New Roman" w:hAnsi="Times New Roman"/>
          <w:bCs/>
          <w:noProof/>
          <w:szCs w:val="24"/>
        </w:rPr>
        <w:t>u nadležnost</w:t>
      </w:r>
      <w:r w:rsidR="002635D0">
        <w:rPr>
          <w:rFonts w:ascii="Times New Roman" w:hAnsi="Times New Roman"/>
          <w:bCs/>
          <w:noProof/>
          <w:szCs w:val="24"/>
        </w:rPr>
        <w:t xml:space="preserve"> Ministarstva koja je u strukturi rashoda</w:t>
      </w:r>
      <w:r w:rsidR="003A46E4">
        <w:rPr>
          <w:rFonts w:ascii="Times New Roman" w:hAnsi="Times New Roman"/>
          <w:bCs/>
          <w:noProof/>
          <w:szCs w:val="24"/>
        </w:rPr>
        <w:t xml:space="preserve"> za zaposlen</w:t>
      </w:r>
      <w:r w:rsidR="00F6235D">
        <w:rPr>
          <w:rFonts w:ascii="Times New Roman" w:hAnsi="Times New Roman"/>
          <w:bCs/>
          <w:noProof/>
          <w:szCs w:val="24"/>
        </w:rPr>
        <w:t>e</w:t>
      </w:r>
      <w:r w:rsidR="003A46E4">
        <w:rPr>
          <w:rFonts w:ascii="Times New Roman" w:hAnsi="Times New Roman"/>
          <w:bCs/>
          <w:noProof/>
          <w:szCs w:val="24"/>
        </w:rPr>
        <w:t xml:space="preserve"> imala značajan udio.</w:t>
      </w:r>
      <w:r w:rsidR="002635D0">
        <w:rPr>
          <w:rFonts w:ascii="Times New Roman" w:hAnsi="Times New Roman"/>
          <w:bCs/>
          <w:noProof/>
          <w:szCs w:val="24"/>
        </w:rPr>
        <w:t xml:space="preserve"> </w:t>
      </w:r>
      <w:r w:rsidR="00B4491C">
        <w:rPr>
          <w:rFonts w:ascii="Times New Roman" w:hAnsi="Times New Roman"/>
          <w:bCs/>
          <w:noProof/>
          <w:szCs w:val="24"/>
        </w:rPr>
        <w:t>Općenito, k</w:t>
      </w:r>
      <w:r w:rsidR="00F6235D">
        <w:rPr>
          <w:rFonts w:ascii="Times New Roman" w:hAnsi="Times New Roman"/>
          <w:bCs/>
          <w:noProof/>
          <w:szCs w:val="24"/>
        </w:rPr>
        <w:t>orisnici imaju por</w:t>
      </w:r>
      <w:r w:rsidR="0088182A" w:rsidRPr="006A6F14">
        <w:rPr>
          <w:rFonts w:ascii="Times New Roman" w:hAnsi="Times New Roman"/>
          <w:bCs/>
          <w:noProof/>
          <w:szCs w:val="24"/>
        </w:rPr>
        <w:t>ast</w:t>
      </w:r>
      <w:r w:rsidR="00B4491C">
        <w:rPr>
          <w:rFonts w:ascii="Times New Roman" w:hAnsi="Times New Roman"/>
          <w:bCs/>
          <w:noProof/>
          <w:szCs w:val="24"/>
        </w:rPr>
        <w:t xml:space="preserve"> ovih rashoda</w:t>
      </w:r>
      <w:r w:rsidR="0088182A" w:rsidRPr="006A6F14">
        <w:rPr>
          <w:rFonts w:ascii="Times New Roman" w:hAnsi="Times New Roman"/>
          <w:bCs/>
          <w:noProof/>
          <w:szCs w:val="24"/>
        </w:rPr>
        <w:t xml:space="preserve"> </w:t>
      </w:r>
      <w:r w:rsidR="001C0E10">
        <w:rPr>
          <w:rFonts w:ascii="Times New Roman" w:hAnsi="Times New Roman"/>
          <w:bCs/>
          <w:noProof/>
          <w:szCs w:val="24"/>
        </w:rPr>
        <w:t xml:space="preserve">zbog </w:t>
      </w:r>
      <w:r w:rsidR="00B4491C">
        <w:rPr>
          <w:rFonts w:ascii="Times New Roman" w:hAnsi="Times New Roman"/>
          <w:bCs/>
          <w:noProof/>
          <w:szCs w:val="24"/>
        </w:rPr>
        <w:t>povećanja plaća sukladno</w:t>
      </w:r>
      <w:r w:rsidR="005F74F2">
        <w:rPr>
          <w:rFonts w:ascii="Times New Roman" w:hAnsi="Times New Roman"/>
          <w:bCs/>
          <w:noProof/>
          <w:szCs w:val="24"/>
        </w:rPr>
        <w:t xml:space="preserve"> novoj </w:t>
      </w:r>
      <w:r w:rsidR="00B4491C">
        <w:rPr>
          <w:rFonts w:ascii="Times New Roman" w:hAnsi="Times New Roman"/>
          <w:bCs/>
          <w:noProof/>
          <w:szCs w:val="24"/>
        </w:rPr>
        <w:t>U</w:t>
      </w:r>
      <w:r w:rsidR="005F74F2">
        <w:rPr>
          <w:rFonts w:ascii="Times New Roman" w:hAnsi="Times New Roman"/>
          <w:bCs/>
          <w:noProof/>
          <w:szCs w:val="24"/>
        </w:rPr>
        <w:t>redbi o</w:t>
      </w:r>
      <w:r w:rsidR="00B4491C">
        <w:rPr>
          <w:rFonts w:ascii="Times New Roman" w:hAnsi="Times New Roman"/>
          <w:bCs/>
          <w:noProof/>
          <w:szCs w:val="24"/>
        </w:rPr>
        <w:t xml:space="preserve"> nazivima radnih mjesta, uvjetima za raspored</w:t>
      </w:r>
      <w:r w:rsidR="00E37322">
        <w:rPr>
          <w:rFonts w:ascii="Times New Roman" w:hAnsi="Times New Roman"/>
          <w:bCs/>
          <w:noProof/>
          <w:szCs w:val="24"/>
        </w:rPr>
        <w:t xml:space="preserve"> i</w:t>
      </w:r>
      <w:r w:rsidR="005F74F2">
        <w:rPr>
          <w:rFonts w:ascii="Times New Roman" w:hAnsi="Times New Roman"/>
          <w:bCs/>
          <w:noProof/>
          <w:szCs w:val="24"/>
        </w:rPr>
        <w:t xml:space="preserve"> koeficijentima</w:t>
      </w:r>
      <w:r w:rsidR="0088182A" w:rsidRPr="006A6F14">
        <w:rPr>
          <w:rFonts w:ascii="Times New Roman" w:hAnsi="Times New Roman"/>
          <w:bCs/>
          <w:noProof/>
          <w:szCs w:val="24"/>
        </w:rPr>
        <w:t xml:space="preserve"> </w:t>
      </w:r>
      <w:r w:rsidR="005F74F2">
        <w:rPr>
          <w:rFonts w:ascii="Times New Roman" w:hAnsi="Times New Roman"/>
          <w:bCs/>
          <w:noProof/>
          <w:szCs w:val="24"/>
        </w:rPr>
        <w:t>za obračun plaće</w:t>
      </w:r>
      <w:r w:rsidR="00E37322">
        <w:rPr>
          <w:rFonts w:ascii="Times New Roman" w:hAnsi="Times New Roman"/>
          <w:bCs/>
          <w:noProof/>
          <w:szCs w:val="24"/>
        </w:rPr>
        <w:t xml:space="preserve"> u javnim službama.</w:t>
      </w:r>
      <w:r w:rsidR="005F74F2">
        <w:rPr>
          <w:rFonts w:ascii="Times New Roman" w:hAnsi="Times New Roman"/>
          <w:bCs/>
          <w:noProof/>
          <w:szCs w:val="24"/>
        </w:rPr>
        <w:t xml:space="preserve"> </w:t>
      </w:r>
      <w:bookmarkStart w:id="0" w:name="_Hlk140487741"/>
    </w:p>
    <w:bookmarkEnd w:id="0"/>
    <w:p w14:paraId="4C97C7C6" w14:textId="67BA59DA" w:rsidR="00164A3E" w:rsidRDefault="0095501B" w:rsidP="00922A4A">
      <w:pPr>
        <w:spacing w:line="360" w:lineRule="auto"/>
        <w:ind w:firstLine="708"/>
        <w:jc w:val="both"/>
        <w:rPr>
          <w:rFonts w:ascii="Times New Roman" w:hAnsi="Times New Roman"/>
          <w:bCs/>
          <w:noProof/>
          <w:szCs w:val="24"/>
        </w:rPr>
      </w:pPr>
      <w:r w:rsidRPr="00A5707C">
        <w:rPr>
          <w:rFonts w:ascii="Times New Roman" w:hAnsi="Times New Roman"/>
          <w:b/>
          <w:bCs/>
          <w:noProof/>
          <w:szCs w:val="24"/>
        </w:rPr>
        <w:tab/>
      </w:r>
      <w:r w:rsidR="00E1445D" w:rsidRPr="00A5707C">
        <w:rPr>
          <w:rFonts w:ascii="Times New Roman" w:hAnsi="Times New Roman"/>
          <w:b/>
          <w:bCs/>
          <w:noProof/>
          <w:szCs w:val="24"/>
        </w:rPr>
        <w:t>(</w:t>
      </w:r>
      <w:r w:rsidR="00EB30C6" w:rsidRPr="00A5707C">
        <w:rPr>
          <w:rFonts w:ascii="Times New Roman" w:hAnsi="Times New Roman"/>
          <w:b/>
          <w:bCs/>
          <w:noProof/>
          <w:szCs w:val="24"/>
        </w:rPr>
        <w:t>32</w:t>
      </w:r>
      <w:r w:rsidR="00E1445D" w:rsidRPr="00A5707C">
        <w:rPr>
          <w:rFonts w:ascii="Times New Roman" w:hAnsi="Times New Roman"/>
          <w:b/>
          <w:bCs/>
          <w:noProof/>
          <w:szCs w:val="24"/>
        </w:rPr>
        <w:t>) Materijalni rashodi</w:t>
      </w:r>
      <w:r w:rsidR="009B019C" w:rsidRPr="00A5707C">
        <w:rPr>
          <w:rFonts w:ascii="Times New Roman" w:hAnsi="Times New Roman"/>
          <w:bCs/>
          <w:noProof/>
          <w:szCs w:val="24"/>
        </w:rPr>
        <w:t xml:space="preserve"> </w:t>
      </w:r>
      <w:r w:rsidR="005F74F2" w:rsidRPr="00A5707C">
        <w:rPr>
          <w:rFonts w:ascii="Times New Roman" w:hAnsi="Times New Roman"/>
          <w:bCs/>
          <w:noProof/>
          <w:szCs w:val="24"/>
        </w:rPr>
        <w:t xml:space="preserve"> također iz već navedenog razloga imaju značajan pad </w:t>
      </w:r>
      <w:r w:rsidR="00B42D33">
        <w:rPr>
          <w:rFonts w:ascii="Times New Roman" w:hAnsi="Times New Roman"/>
          <w:bCs/>
          <w:noProof/>
          <w:szCs w:val="24"/>
        </w:rPr>
        <w:t xml:space="preserve">od </w:t>
      </w:r>
      <w:r w:rsidR="005F74F2" w:rsidRPr="00A5707C">
        <w:rPr>
          <w:rFonts w:ascii="Times New Roman" w:hAnsi="Times New Roman"/>
          <w:bCs/>
          <w:noProof/>
          <w:szCs w:val="24"/>
        </w:rPr>
        <w:t>31,54</w:t>
      </w:r>
      <w:r w:rsidR="004E5C11">
        <w:rPr>
          <w:rFonts w:ascii="Times New Roman" w:hAnsi="Times New Roman"/>
          <w:bCs/>
          <w:noProof/>
          <w:szCs w:val="24"/>
        </w:rPr>
        <w:t xml:space="preserve"> </w:t>
      </w:r>
      <w:r w:rsidR="005F74F2" w:rsidRPr="00A5707C">
        <w:rPr>
          <w:rFonts w:ascii="Times New Roman" w:hAnsi="Times New Roman"/>
          <w:bCs/>
          <w:noProof/>
          <w:szCs w:val="24"/>
        </w:rPr>
        <w:t>% u odnosu na promatrano razdoblje prethodne godine</w:t>
      </w:r>
      <w:r w:rsidR="00B42D33">
        <w:rPr>
          <w:rFonts w:ascii="Times New Roman" w:hAnsi="Times New Roman"/>
          <w:bCs/>
          <w:noProof/>
          <w:szCs w:val="24"/>
        </w:rPr>
        <w:t xml:space="preserve"> dok izvršenje u odnosu na plan tekuće godine iznosi 44,3%.</w:t>
      </w:r>
      <w:r w:rsidR="00922A4A">
        <w:rPr>
          <w:rFonts w:ascii="Times New Roman" w:hAnsi="Times New Roman"/>
          <w:bCs/>
          <w:noProof/>
          <w:szCs w:val="24"/>
        </w:rPr>
        <w:t xml:space="preserve"> </w:t>
      </w:r>
      <w:r w:rsidR="00E1742A">
        <w:rPr>
          <w:rFonts w:ascii="Times New Roman" w:hAnsi="Times New Roman"/>
          <w:bCs/>
          <w:noProof/>
          <w:szCs w:val="24"/>
        </w:rPr>
        <w:t>U</w:t>
      </w:r>
      <w:r w:rsidR="00164A3E" w:rsidRPr="00164A3E">
        <w:rPr>
          <w:rFonts w:ascii="Times New Roman" w:hAnsi="Times New Roman"/>
          <w:bCs/>
          <w:noProof/>
          <w:szCs w:val="24"/>
        </w:rPr>
        <w:t>slijed iskazne potrebe za nabavom radne zaštitne obuće i odjeće za djelatnike</w:t>
      </w:r>
      <w:r w:rsidR="006F7599">
        <w:rPr>
          <w:rFonts w:ascii="Times New Roman" w:hAnsi="Times New Roman"/>
          <w:bCs/>
          <w:noProof/>
          <w:szCs w:val="24"/>
        </w:rPr>
        <w:t>,</w:t>
      </w:r>
      <w:r w:rsidR="00164A3E" w:rsidRPr="00164A3E">
        <w:rPr>
          <w:rFonts w:ascii="Times New Roman" w:hAnsi="Times New Roman"/>
          <w:bCs/>
          <w:noProof/>
          <w:szCs w:val="24"/>
        </w:rPr>
        <w:t xml:space="preserve"> kako Županije tako i kod proračunskih korisnika</w:t>
      </w:r>
      <w:r w:rsidR="00E1742A">
        <w:rPr>
          <w:rFonts w:ascii="Times New Roman" w:hAnsi="Times New Roman"/>
          <w:bCs/>
          <w:noProof/>
          <w:szCs w:val="24"/>
        </w:rPr>
        <w:t xml:space="preserve"> u</w:t>
      </w:r>
      <w:r w:rsidR="00164A3E">
        <w:rPr>
          <w:rFonts w:ascii="Times New Roman" w:hAnsi="Times New Roman"/>
          <w:bCs/>
          <w:noProof/>
          <w:szCs w:val="24"/>
        </w:rPr>
        <w:t xml:space="preserve"> </w:t>
      </w:r>
      <w:r w:rsidR="00E1742A">
        <w:rPr>
          <w:rFonts w:ascii="Times New Roman" w:hAnsi="Times New Roman"/>
          <w:bCs/>
          <w:noProof/>
          <w:szCs w:val="24"/>
        </w:rPr>
        <w:t xml:space="preserve">prvom polugodištu ove godine iskazano je povećanje  ovih rashoda u odnosu na isto razdoblje prošle godine. </w:t>
      </w:r>
      <w:r w:rsidR="000456E3">
        <w:rPr>
          <w:rFonts w:ascii="Times New Roman" w:hAnsi="Times New Roman"/>
          <w:bCs/>
          <w:noProof/>
          <w:szCs w:val="24"/>
        </w:rPr>
        <w:t xml:space="preserve">Komunalne usluge povećane su iz razloga što </w:t>
      </w:r>
      <w:r w:rsidR="000456E3" w:rsidRPr="00C3579C">
        <w:rPr>
          <w:rFonts w:ascii="Times New Roman" w:hAnsi="Times New Roman"/>
          <w:bCs/>
          <w:noProof/>
          <w:szCs w:val="24"/>
        </w:rPr>
        <w:t>je došlo do povećanja naknade za odvoz komunalnog otpada</w:t>
      </w:r>
      <w:r w:rsidR="006D290E" w:rsidRPr="00C3579C">
        <w:rPr>
          <w:rFonts w:ascii="Times New Roman" w:hAnsi="Times New Roman"/>
          <w:bCs/>
          <w:noProof/>
          <w:szCs w:val="24"/>
        </w:rPr>
        <w:t xml:space="preserve">, </w:t>
      </w:r>
      <w:r w:rsidR="006D290E" w:rsidRPr="00BC1A63">
        <w:rPr>
          <w:rFonts w:ascii="Times New Roman" w:hAnsi="Times New Roman"/>
          <w:bCs/>
          <w:noProof/>
          <w:szCs w:val="24"/>
        </w:rPr>
        <w:t>dok se povećanje naknade troškova</w:t>
      </w:r>
      <w:r w:rsidR="00521340" w:rsidRPr="00BC1A63">
        <w:rPr>
          <w:rFonts w:ascii="Times New Roman" w:hAnsi="Times New Roman"/>
          <w:bCs/>
          <w:noProof/>
          <w:szCs w:val="24"/>
        </w:rPr>
        <w:t xml:space="preserve"> osobama i</w:t>
      </w:r>
      <w:r w:rsidR="006D290E" w:rsidRPr="00BC1A63">
        <w:rPr>
          <w:rFonts w:ascii="Times New Roman" w:hAnsi="Times New Roman"/>
          <w:bCs/>
          <w:noProof/>
          <w:szCs w:val="24"/>
        </w:rPr>
        <w:t>zvan radnog odnosa odnosi se na provođenje</w:t>
      </w:r>
      <w:r w:rsidR="006D290E" w:rsidRPr="008179D9">
        <w:rPr>
          <w:rFonts w:ascii="Times New Roman" w:hAnsi="Times New Roman"/>
          <w:bCs/>
          <w:noProof/>
          <w:szCs w:val="24"/>
        </w:rPr>
        <w:t xml:space="preserve"> Erasmus projekata kod korisnika u srednjem školstvu.</w:t>
      </w:r>
    </w:p>
    <w:p w14:paraId="18782F0D" w14:textId="77C92920" w:rsidR="003A4264" w:rsidRPr="00A218E8" w:rsidRDefault="008E34C6" w:rsidP="000D35B5">
      <w:pPr>
        <w:spacing w:line="360" w:lineRule="auto"/>
        <w:ind w:firstLine="708"/>
        <w:jc w:val="both"/>
        <w:rPr>
          <w:rFonts w:ascii="Times New Roman" w:hAnsi="Times New Roman"/>
          <w:szCs w:val="24"/>
        </w:rPr>
      </w:pPr>
      <w:r w:rsidRPr="00A218E8">
        <w:rPr>
          <w:rFonts w:ascii="Times New Roman" w:hAnsi="Times New Roman"/>
          <w:b/>
          <w:szCs w:val="24"/>
        </w:rPr>
        <w:t>(</w:t>
      </w:r>
      <w:r w:rsidR="00A26A28" w:rsidRPr="00A218E8">
        <w:rPr>
          <w:rFonts w:ascii="Times New Roman" w:hAnsi="Times New Roman"/>
          <w:b/>
          <w:szCs w:val="24"/>
        </w:rPr>
        <w:t>34) Financijski rashodi</w:t>
      </w:r>
      <w:r w:rsidR="003A4264" w:rsidRPr="00A218E8">
        <w:rPr>
          <w:rFonts w:ascii="Times New Roman" w:hAnsi="Times New Roman"/>
          <w:szCs w:val="24"/>
        </w:rPr>
        <w:t xml:space="preserve"> obuhvaćaju isplaćene kamate za dugoročne kredite Županije</w:t>
      </w:r>
      <w:r w:rsidR="0044253F" w:rsidRPr="00A218E8">
        <w:rPr>
          <w:rFonts w:ascii="Times New Roman" w:hAnsi="Times New Roman"/>
          <w:szCs w:val="24"/>
        </w:rPr>
        <w:t>,</w:t>
      </w:r>
      <w:r w:rsidR="003A4264" w:rsidRPr="00A218E8">
        <w:rPr>
          <w:rFonts w:ascii="Times New Roman" w:hAnsi="Times New Roman"/>
          <w:szCs w:val="24"/>
        </w:rPr>
        <w:t xml:space="preserve"> Opće bolnice Bjelovar, Doma za starije osobe, Glazbene škole V. Lisinski</w:t>
      </w:r>
      <w:r w:rsidR="00A218E8">
        <w:rPr>
          <w:rFonts w:ascii="Times New Roman" w:hAnsi="Times New Roman"/>
          <w:szCs w:val="24"/>
        </w:rPr>
        <w:t>, OŠ</w:t>
      </w:r>
      <w:r w:rsidR="0044253F" w:rsidRPr="00A218E8">
        <w:rPr>
          <w:rFonts w:ascii="Times New Roman" w:hAnsi="Times New Roman"/>
          <w:szCs w:val="24"/>
        </w:rPr>
        <w:t xml:space="preserve"> Rovišće</w:t>
      </w:r>
      <w:r w:rsidR="00566741">
        <w:rPr>
          <w:rFonts w:ascii="Times New Roman" w:hAnsi="Times New Roman"/>
          <w:szCs w:val="24"/>
        </w:rPr>
        <w:t xml:space="preserve"> te</w:t>
      </w:r>
      <w:r w:rsidR="003A4264" w:rsidRPr="00A218E8">
        <w:rPr>
          <w:rFonts w:ascii="Times New Roman" w:hAnsi="Times New Roman"/>
          <w:szCs w:val="24"/>
        </w:rPr>
        <w:t xml:space="preserve"> redovne naknade poslovnoj banci</w:t>
      </w:r>
      <w:r w:rsidR="0044253F" w:rsidRPr="00A218E8">
        <w:rPr>
          <w:rFonts w:ascii="Times New Roman" w:hAnsi="Times New Roman"/>
          <w:szCs w:val="24"/>
        </w:rPr>
        <w:t xml:space="preserve">. </w:t>
      </w:r>
    </w:p>
    <w:p w14:paraId="4CADC0A9" w14:textId="22D99758" w:rsidR="00A218E8" w:rsidRPr="00A218E8" w:rsidRDefault="00A26A28" w:rsidP="00A218E8">
      <w:pPr>
        <w:spacing w:line="360" w:lineRule="auto"/>
        <w:jc w:val="both"/>
        <w:rPr>
          <w:rFonts w:ascii="Times New Roman" w:hAnsi="Times New Roman"/>
          <w:bCs/>
          <w:noProof/>
          <w:szCs w:val="24"/>
        </w:rPr>
      </w:pPr>
      <w:r w:rsidRPr="00A218E8">
        <w:rPr>
          <w:rFonts w:ascii="Times New Roman" w:hAnsi="Times New Roman"/>
          <w:bCs/>
          <w:noProof/>
          <w:szCs w:val="24"/>
        </w:rPr>
        <w:tab/>
      </w:r>
      <w:r w:rsidR="008E34C6" w:rsidRPr="00A218E8">
        <w:rPr>
          <w:rFonts w:ascii="Times New Roman" w:hAnsi="Times New Roman"/>
          <w:b/>
          <w:bCs/>
          <w:noProof/>
          <w:szCs w:val="24"/>
        </w:rPr>
        <w:t>(</w:t>
      </w:r>
      <w:r w:rsidR="005D33FD" w:rsidRPr="00A218E8">
        <w:rPr>
          <w:rFonts w:ascii="Times New Roman" w:hAnsi="Times New Roman"/>
          <w:b/>
          <w:bCs/>
          <w:noProof/>
          <w:szCs w:val="24"/>
        </w:rPr>
        <w:t>35</w:t>
      </w:r>
      <w:r w:rsidR="008E34C6" w:rsidRPr="00A218E8">
        <w:rPr>
          <w:rFonts w:ascii="Times New Roman" w:hAnsi="Times New Roman"/>
          <w:b/>
          <w:bCs/>
          <w:noProof/>
          <w:szCs w:val="24"/>
        </w:rPr>
        <w:t xml:space="preserve">) </w:t>
      </w:r>
      <w:r w:rsidR="005D33FD" w:rsidRPr="00A218E8">
        <w:rPr>
          <w:rFonts w:ascii="Times New Roman" w:hAnsi="Times New Roman"/>
          <w:b/>
          <w:bCs/>
          <w:noProof/>
          <w:szCs w:val="24"/>
        </w:rPr>
        <w:t>Subvencije</w:t>
      </w:r>
      <w:r w:rsidR="008E34C6" w:rsidRPr="00A218E8">
        <w:rPr>
          <w:rFonts w:ascii="Times New Roman" w:hAnsi="Times New Roman"/>
          <w:bCs/>
          <w:noProof/>
          <w:szCs w:val="24"/>
        </w:rPr>
        <w:t xml:space="preserve"> </w:t>
      </w:r>
      <w:r w:rsidR="00236596">
        <w:rPr>
          <w:rFonts w:ascii="Times New Roman" w:hAnsi="Times New Roman"/>
          <w:bCs/>
          <w:noProof/>
          <w:szCs w:val="24"/>
        </w:rPr>
        <w:t>su ostvarene</w:t>
      </w:r>
      <w:r w:rsidR="00566741">
        <w:rPr>
          <w:rFonts w:ascii="Times New Roman" w:hAnsi="Times New Roman"/>
          <w:bCs/>
          <w:noProof/>
          <w:szCs w:val="24"/>
        </w:rPr>
        <w:t xml:space="preserve"> gotovo</w:t>
      </w:r>
      <w:r w:rsidR="00236596">
        <w:rPr>
          <w:rFonts w:ascii="Times New Roman" w:hAnsi="Times New Roman"/>
          <w:bCs/>
          <w:noProof/>
          <w:szCs w:val="24"/>
        </w:rPr>
        <w:t xml:space="preserve"> 50</w:t>
      </w:r>
      <w:r w:rsidR="00566741">
        <w:rPr>
          <w:rFonts w:ascii="Times New Roman" w:hAnsi="Times New Roman"/>
          <w:bCs/>
          <w:noProof/>
          <w:szCs w:val="24"/>
        </w:rPr>
        <w:t>,00</w:t>
      </w:r>
      <w:r w:rsidR="00236596">
        <w:rPr>
          <w:rFonts w:ascii="Times New Roman" w:hAnsi="Times New Roman"/>
          <w:bCs/>
          <w:noProof/>
          <w:szCs w:val="24"/>
        </w:rPr>
        <w:t>% manje u odnosu na isto razdoblje prethodne godine</w:t>
      </w:r>
      <w:r w:rsidR="00A218E8" w:rsidRPr="00A218E8">
        <w:rPr>
          <w:rFonts w:ascii="Times New Roman" w:hAnsi="Times New Roman"/>
          <w:bCs/>
          <w:noProof/>
          <w:szCs w:val="24"/>
        </w:rPr>
        <w:t xml:space="preserve"> iz razloga što </w:t>
      </w:r>
      <w:r w:rsidR="00566741">
        <w:rPr>
          <w:rFonts w:ascii="Times New Roman" w:hAnsi="Times New Roman"/>
          <w:bCs/>
          <w:noProof/>
          <w:szCs w:val="24"/>
        </w:rPr>
        <w:t>s</w:t>
      </w:r>
      <w:r w:rsidR="00A218E8" w:rsidRPr="00A218E8">
        <w:rPr>
          <w:rFonts w:ascii="Times New Roman" w:hAnsi="Times New Roman"/>
          <w:bCs/>
          <w:noProof/>
          <w:szCs w:val="24"/>
        </w:rPr>
        <w:t>e prošle godin</w:t>
      </w:r>
      <w:r w:rsidR="00566741">
        <w:rPr>
          <w:rFonts w:ascii="Times New Roman" w:hAnsi="Times New Roman"/>
          <w:bCs/>
          <w:noProof/>
          <w:szCs w:val="24"/>
        </w:rPr>
        <w:t xml:space="preserve">e vršila isplata subvencija poljoprivrednicima za </w:t>
      </w:r>
      <w:r w:rsidR="00A218E8" w:rsidRPr="00A218E8">
        <w:rPr>
          <w:rFonts w:ascii="Times New Roman" w:hAnsi="Times New Roman"/>
          <w:bCs/>
          <w:noProof/>
          <w:szCs w:val="24"/>
        </w:rPr>
        <w:t>štet</w:t>
      </w:r>
      <w:r w:rsidR="00566741">
        <w:rPr>
          <w:rFonts w:ascii="Times New Roman" w:hAnsi="Times New Roman"/>
          <w:bCs/>
          <w:noProof/>
          <w:szCs w:val="24"/>
        </w:rPr>
        <w:t>u nastalu</w:t>
      </w:r>
      <w:r w:rsidR="00A218E8" w:rsidRPr="00A218E8">
        <w:rPr>
          <w:rFonts w:ascii="Times New Roman" w:hAnsi="Times New Roman"/>
          <w:bCs/>
          <w:noProof/>
          <w:szCs w:val="24"/>
        </w:rPr>
        <w:t xml:space="preserve"> </w:t>
      </w:r>
      <w:r w:rsidR="00566741">
        <w:rPr>
          <w:rFonts w:ascii="Times New Roman" w:hAnsi="Times New Roman"/>
          <w:bCs/>
          <w:noProof/>
          <w:szCs w:val="24"/>
        </w:rPr>
        <w:t xml:space="preserve">uslijed </w:t>
      </w:r>
      <w:r w:rsidR="00A218E8" w:rsidRPr="00A218E8">
        <w:rPr>
          <w:rFonts w:ascii="Times New Roman" w:hAnsi="Times New Roman"/>
          <w:bCs/>
          <w:noProof/>
          <w:szCs w:val="24"/>
        </w:rPr>
        <w:t>olujno</w:t>
      </w:r>
      <w:r w:rsidR="00566741">
        <w:rPr>
          <w:rFonts w:ascii="Times New Roman" w:hAnsi="Times New Roman"/>
          <w:bCs/>
          <w:noProof/>
          <w:szCs w:val="24"/>
        </w:rPr>
        <w:t>g</w:t>
      </w:r>
      <w:r w:rsidR="00A218E8" w:rsidRPr="00A218E8">
        <w:rPr>
          <w:rFonts w:ascii="Times New Roman" w:hAnsi="Times New Roman"/>
          <w:bCs/>
          <w:noProof/>
          <w:szCs w:val="24"/>
        </w:rPr>
        <w:t xml:space="preserve"> nevr</w:t>
      </w:r>
      <w:r w:rsidR="00566741">
        <w:rPr>
          <w:rFonts w:ascii="Times New Roman" w:hAnsi="Times New Roman"/>
          <w:bCs/>
          <w:noProof/>
          <w:szCs w:val="24"/>
        </w:rPr>
        <w:t>emena. O</w:t>
      </w:r>
      <w:r w:rsidR="00A218E8" w:rsidRPr="00A218E8">
        <w:rPr>
          <w:rFonts w:ascii="Times New Roman" w:hAnsi="Times New Roman"/>
          <w:bCs/>
          <w:noProof/>
          <w:szCs w:val="24"/>
        </w:rPr>
        <w:t xml:space="preserve">ve godine u prvom polugodištu </w:t>
      </w:r>
      <w:r w:rsidR="00236596">
        <w:rPr>
          <w:rFonts w:ascii="Times New Roman" w:hAnsi="Times New Roman"/>
          <w:bCs/>
          <w:noProof/>
          <w:szCs w:val="24"/>
        </w:rPr>
        <w:t>povećane su</w:t>
      </w:r>
      <w:r w:rsidR="00A218E8" w:rsidRPr="00A218E8">
        <w:rPr>
          <w:rFonts w:ascii="Times New Roman" w:hAnsi="Times New Roman"/>
          <w:bCs/>
          <w:noProof/>
          <w:szCs w:val="24"/>
        </w:rPr>
        <w:t xml:space="preserve"> subvencije trgovačkim društvima za sufinanciranje nabavke novih  rabljenih strojeva i opreme.</w:t>
      </w:r>
    </w:p>
    <w:p w14:paraId="2230FC20" w14:textId="6DAF67CD" w:rsidR="004E4519" w:rsidRPr="00D468D2" w:rsidRDefault="004E4519" w:rsidP="000D35B5">
      <w:pPr>
        <w:spacing w:line="360" w:lineRule="auto"/>
        <w:ind w:firstLine="708"/>
        <w:jc w:val="both"/>
        <w:rPr>
          <w:rFonts w:ascii="Times New Roman" w:hAnsi="Times New Roman"/>
          <w:szCs w:val="24"/>
        </w:rPr>
      </w:pPr>
      <w:r w:rsidRPr="00D468D2">
        <w:rPr>
          <w:rFonts w:ascii="Times New Roman" w:hAnsi="Times New Roman"/>
          <w:b/>
          <w:szCs w:val="24"/>
        </w:rPr>
        <w:t xml:space="preserve">(36) Pomoći dane u inozemstvo i unutar općeg proračuna </w:t>
      </w:r>
      <w:r w:rsidR="00793380" w:rsidRPr="00D468D2">
        <w:rPr>
          <w:rFonts w:ascii="Times New Roman" w:hAnsi="Times New Roman"/>
          <w:b/>
          <w:szCs w:val="24"/>
        </w:rPr>
        <w:t xml:space="preserve"> manje su </w:t>
      </w:r>
      <w:r w:rsidR="00D468D2" w:rsidRPr="00D468D2">
        <w:rPr>
          <w:rFonts w:ascii="Times New Roman" w:hAnsi="Times New Roman"/>
          <w:szCs w:val="24"/>
        </w:rPr>
        <w:t xml:space="preserve">za </w:t>
      </w:r>
      <w:r w:rsidR="00CE51F9">
        <w:rPr>
          <w:rFonts w:ascii="Times New Roman" w:hAnsi="Times New Roman"/>
          <w:szCs w:val="24"/>
        </w:rPr>
        <w:t>99,06</w:t>
      </w:r>
      <w:r w:rsidR="00D468D2" w:rsidRPr="00D468D2">
        <w:rPr>
          <w:rFonts w:ascii="Times New Roman" w:hAnsi="Times New Roman"/>
          <w:szCs w:val="24"/>
        </w:rPr>
        <w:t>%</w:t>
      </w:r>
      <w:r w:rsidR="00D468D2">
        <w:rPr>
          <w:rFonts w:ascii="Times New Roman" w:hAnsi="Times New Roman"/>
          <w:szCs w:val="24"/>
        </w:rPr>
        <w:t xml:space="preserve"> iz razloga što su p</w:t>
      </w:r>
      <w:r w:rsidR="00CE51F9">
        <w:rPr>
          <w:rFonts w:ascii="Times New Roman" w:hAnsi="Times New Roman"/>
          <w:szCs w:val="24"/>
        </w:rPr>
        <w:t>rethodne</w:t>
      </w:r>
      <w:r w:rsidR="00D468D2">
        <w:rPr>
          <w:rFonts w:ascii="Times New Roman" w:hAnsi="Times New Roman"/>
          <w:szCs w:val="24"/>
        </w:rPr>
        <w:t xml:space="preserve"> godine isplaćene naknade</w:t>
      </w:r>
      <w:r w:rsidRPr="00D468D2">
        <w:rPr>
          <w:rFonts w:ascii="Times New Roman" w:hAnsi="Times New Roman"/>
          <w:szCs w:val="24"/>
        </w:rPr>
        <w:t xml:space="preserve"> šteta za građevinske objekte u jedinicama lokalne samouprave nastal</w:t>
      </w:r>
      <w:r w:rsidR="00D468D2">
        <w:rPr>
          <w:rFonts w:ascii="Times New Roman" w:hAnsi="Times New Roman"/>
          <w:szCs w:val="24"/>
        </w:rPr>
        <w:t>e</w:t>
      </w:r>
      <w:r w:rsidRPr="00D468D2">
        <w:rPr>
          <w:rFonts w:ascii="Times New Roman" w:hAnsi="Times New Roman"/>
          <w:szCs w:val="24"/>
        </w:rPr>
        <w:t xml:space="preserve"> uslijed jakog nevremena u rujnu 2022. godine.</w:t>
      </w:r>
      <w:r w:rsidR="00CF1E95" w:rsidRPr="00D468D2">
        <w:rPr>
          <w:rFonts w:ascii="Times New Roman" w:hAnsi="Times New Roman"/>
          <w:szCs w:val="24"/>
        </w:rPr>
        <w:t xml:space="preserve"> </w:t>
      </w:r>
    </w:p>
    <w:p w14:paraId="4C452D1E" w14:textId="772EC665" w:rsidR="00C23298" w:rsidRPr="00381750" w:rsidRDefault="00C23298" w:rsidP="002F0AFC">
      <w:pPr>
        <w:shd w:val="clear" w:color="auto" w:fill="FFFFFF" w:themeFill="background1"/>
        <w:spacing w:line="360" w:lineRule="auto"/>
        <w:ind w:firstLine="708"/>
        <w:jc w:val="both"/>
        <w:rPr>
          <w:rFonts w:ascii="Times New Roman" w:hAnsi="Times New Roman"/>
          <w:szCs w:val="24"/>
          <w:highlight w:val="yellow"/>
        </w:rPr>
      </w:pPr>
      <w:r w:rsidRPr="00E535D8">
        <w:rPr>
          <w:rFonts w:ascii="Times New Roman" w:hAnsi="Times New Roman"/>
          <w:b/>
          <w:szCs w:val="24"/>
        </w:rPr>
        <w:t xml:space="preserve">(37) Naknadne građanima i kućanstvima </w:t>
      </w:r>
      <w:r w:rsidR="00F94565" w:rsidRPr="00E535D8">
        <w:rPr>
          <w:rFonts w:ascii="Times New Roman" w:hAnsi="Times New Roman"/>
          <w:b/>
          <w:szCs w:val="24"/>
        </w:rPr>
        <w:t>na temelju osiguranja i druge naknade</w:t>
      </w:r>
      <w:r w:rsidRPr="00E535D8">
        <w:rPr>
          <w:rFonts w:ascii="Times New Roman" w:hAnsi="Times New Roman"/>
          <w:szCs w:val="24"/>
        </w:rPr>
        <w:t xml:space="preserve"> odnose se na naknade građanima i kućanstvima isplaćene u novcu koje se u najvećem dijelu odnose na </w:t>
      </w:r>
      <w:r w:rsidR="009B2CBA" w:rsidRPr="00E535D8">
        <w:rPr>
          <w:rFonts w:ascii="Times New Roman" w:hAnsi="Times New Roman"/>
          <w:szCs w:val="24"/>
        </w:rPr>
        <w:t>s</w:t>
      </w:r>
      <w:r w:rsidRPr="00E535D8">
        <w:rPr>
          <w:rFonts w:ascii="Times New Roman" w:hAnsi="Times New Roman"/>
          <w:szCs w:val="24"/>
        </w:rPr>
        <w:t>tipendije i školarine, na podmirenje pogrebnih troškova preminulih hrvatskih branitelja, subvencije za sta</w:t>
      </w:r>
      <w:r w:rsidR="00FB20B4" w:rsidRPr="00E535D8">
        <w:rPr>
          <w:rFonts w:ascii="Times New Roman" w:hAnsi="Times New Roman"/>
          <w:szCs w:val="24"/>
        </w:rPr>
        <w:t>m</w:t>
      </w:r>
      <w:r w:rsidRPr="00E535D8">
        <w:rPr>
          <w:rFonts w:ascii="Times New Roman" w:hAnsi="Times New Roman"/>
          <w:szCs w:val="24"/>
        </w:rPr>
        <w:t xml:space="preserve">bene kredita liječnika i medicinskog osoblja, </w:t>
      </w:r>
      <w:r w:rsidR="00FB20B4" w:rsidRPr="00E535D8">
        <w:rPr>
          <w:rFonts w:ascii="Times New Roman" w:hAnsi="Times New Roman"/>
          <w:szCs w:val="24"/>
        </w:rPr>
        <w:t>naknade</w:t>
      </w:r>
      <w:r w:rsidRPr="00E535D8">
        <w:rPr>
          <w:rFonts w:ascii="Times New Roman" w:hAnsi="Times New Roman"/>
          <w:szCs w:val="24"/>
        </w:rPr>
        <w:t xml:space="preserve"> za novorođeno dijete.</w:t>
      </w:r>
      <w:r w:rsidR="003D4F1C" w:rsidRPr="00E535D8">
        <w:rPr>
          <w:rFonts w:ascii="Times New Roman" w:hAnsi="Times New Roman"/>
          <w:szCs w:val="24"/>
        </w:rPr>
        <w:t xml:space="preserve"> Naknade građanima i kućanstvima u naravi u najvećem dijelu odnosi se na sufinanciranje prijevoza učenika osnovnih i srednjih škola</w:t>
      </w:r>
      <w:r w:rsidR="009965CD" w:rsidRPr="00E535D8">
        <w:rPr>
          <w:rFonts w:ascii="Times New Roman" w:hAnsi="Times New Roman"/>
          <w:szCs w:val="24"/>
        </w:rPr>
        <w:t>, potporu željezničkog i linijskog autobusnog prijevoza</w:t>
      </w:r>
      <w:r w:rsidR="002F0AFC">
        <w:rPr>
          <w:rFonts w:ascii="Times New Roman" w:hAnsi="Times New Roman"/>
          <w:szCs w:val="24"/>
        </w:rPr>
        <w:t>.</w:t>
      </w:r>
    </w:p>
    <w:p w14:paraId="75BC1700" w14:textId="77777777" w:rsidR="00DE6E7C" w:rsidRDefault="001D47CB" w:rsidP="0029684B">
      <w:pPr>
        <w:spacing w:line="360" w:lineRule="auto"/>
        <w:ind w:firstLine="708"/>
        <w:jc w:val="both"/>
        <w:rPr>
          <w:rFonts w:ascii="Times New Roman" w:hAnsi="Times New Roman"/>
          <w:szCs w:val="24"/>
        </w:rPr>
      </w:pPr>
      <w:r w:rsidRPr="00A235D3">
        <w:rPr>
          <w:rFonts w:ascii="Times New Roman" w:hAnsi="Times New Roman"/>
          <w:b/>
          <w:szCs w:val="24"/>
        </w:rPr>
        <w:tab/>
      </w:r>
      <w:r w:rsidR="009E558E" w:rsidRPr="00A235D3">
        <w:rPr>
          <w:rFonts w:ascii="Times New Roman" w:hAnsi="Times New Roman"/>
          <w:b/>
          <w:szCs w:val="24"/>
        </w:rPr>
        <w:t>(</w:t>
      </w:r>
      <w:r w:rsidRPr="00A235D3">
        <w:rPr>
          <w:rFonts w:ascii="Times New Roman" w:hAnsi="Times New Roman"/>
          <w:b/>
          <w:szCs w:val="24"/>
        </w:rPr>
        <w:t>38)</w:t>
      </w:r>
      <w:r w:rsidR="00793A24" w:rsidRPr="00A235D3">
        <w:rPr>
          <w:rFonts w:ascii="Times New Roman" w:hAnsi="Times New Roman"/>
          <w:b/>
          <w:szCs w:val="24"/>
        </w:rPr>
        <w:t xml:space="preserve"> Ostali rashodi </w:t>
      </w:r>
      <w:r w:rsidR="00471DC5" w:rsidRPr="00A235D3">
        <w:rPr>
          <w:rFonts w:ascii="Times New Roman" w:hAnsi="Times New Roman"/>
          <w:szCs w:val="24"/>
        </w:rPr>
        <w:t>obuhvaćaju tekuće i kapitalne donacije koje u najvećem dijelu osigurava i isplaćuje Županija iz izvornog dijela proračuna nacionalnim zajednicama i manjinama, udrugama, političkim strankama,</w:t>
      </w:r>
      <w:r w:rsidR="00D6693F" w:rsidRPr="00A235D3">
        <w:rPr>
          <w:rFonts w:ascii="Times New Roman" w:hAnsi="Times New Roman"/>
          <w:szCs w:val="24"/>
        </w:rPr>
        <w:t xml:space="preserve"> civilnim društvima</w:t>
      </w:r>
      <w:r w:rsidR="00F943FA" w:rsidRPr="00A235D3">
        <w:rPr>
          <w:rFonts w:ascii="Times New Roman" w:hAnsi="Times New Roman"/>
          <w:szCs w:val="24"/>
        </w:rPr>
        <w:t xml:space="preserve"> - </w:t>
      </w:r>
      <w:r w:rsidR="00D6693F" w:rsidRPr="00A235D3">
        <w:rPr>
          <w:rFonts w:ascii="Times New Roman" w:hAnsi="Times New Roman"/>
          <w:szCs w:val="24"/>
        </w:rPr>
        <w:t xml:space="preserve"> kroz javni poziv od interesa za Bjelovarsko-bilogorsku </w:t>
      </w:r>
      <w:r w:rsidR="00D6693F" w:rsidRPr="00A235D3">
        <w:rPr>
          <w:rFonts w:ascii="Times New Roman" w:hAnsi="Times New Roman"/>
          <w:szCs w:val="24"/>
        </w:rPr>
        <w:lastRenderedPageBreak/>
        <w:t xml:space="preserve">županiju, </w:t>
      </w:r>
      <w:r w:rsidR="00471DC5" w:rsidRPr="00A235D3">
        <w:rPr>
          <w:rFonts w:ascii="Times New Roman" w:hAnsi="Times New Roman"/>
          <w:szCs w:val="24"/>
        </w:rPr>
        <w:t>spor</w:t>
      </w:r>
      <w:r w:rsidR="00D6693F" w:rsidRPr="00A235D3">
        <w:rPr>
          <w:rFonts w:ascii="Times New Roman" w:hAnsi="Times New Roman"/>
          <w:szCs w:val="24"/>
        </w:rPr>
        <w:t>t</w:t>
      </w:r>
      <w:r w:rsidR="00471DC5" w:rsidRPr="00A235D3">
        <w:rPr>
          <w:rFonts w:ascii="Times New Roman" w:hAnsi="Times New Roman"/>
          <w:szCs w:val="24"/>
        </w:rPr>
        <w:t xml:space="preserve">skim društvima, humanitarnim </w:t>
      </w:r>
      <w:r w:rsidR="00471DC5" w:rsidRPr="00195DC8">
        <w:rPr>
          <w:rFonts w:ascii="Times New Roman" w:hAnsi="Times New Roman"/>
          <w:szCs w:val="24"/>
        </w:rPr>
        <w:t>organizacijama i sl.</w:t>
      </w:r>
      <w:r w:rsidR="00404B04">
        <w:rPr>
          <w:rFonts w:ascii="Times New Roman" w:hAnsi="Times New Roman"/>
          <w:szCs w:val="24"/>
        </w:rPr>
        <w:t xml:space="preserve"> Temeljem prijenosa EU sredstava Medicinska škola Bjelovar</w:t>
      </w:r>
      <w:r w:rsidR="00C3579C">
        <w:rPr>
          <w:rFonts w:ascii="Times New Roman" w:hAnsi="Times New Roman"/>
          <w:szCs w:val="24"/>
        </w:rPr>
        <w:t xml:space="preserve"> </w:t>
      </w:r>
      <w:r w:rsidR="00404B04">
        <w:rPr>
          <w:rFonts w:ascii="Times New Roman" w:hAnsi="Times New Roman"/>
          <w:szCs w:val="24"/>
        </w:rPr>
        <w:t xml:space="preserve">za projekt Uspostava RCK 2 </w:t>
      </w:r>
      <w:r w:rsidR="008179D9">
        <w:rPr>
          <w:rFonts w:ascii="Times New Roman" w:hAnsi="Times New Roman"/>
          <w:szCs w:val="24"/>
        </w:rPr>
        <w:t xml:space="preserve">izdvojila je </w:t>
      </w:r>
      <w:r w:rsidR="00404B04">
        <w:rPr>
          <w:rFonts w:ascii="Times New Roman" w:hAnsi="Times New Roman"/>
          <w:szCs w:val="24"/>
        </w:rPr>
        <w:t xml:space="preserve">228.253,33 €. </w:t>
      </w:r>
      <w:r w:rsidR="00F943FA" w:rsidRPr="00195DC8">
        <w:rPr>
          <w:rFonts w:ascii="Times New Roman" w:hAnsi="Times New Roman"/>
          <w:szCs w:val="24"/>
        </w:rPr>
        <w:t xml:space="preserve"> </w:t>
      </w:r>
      <w:r w:rsidR="00195DC8">
        <w:rPr>
          <w:rFonts w:ascii="Times New Roman" w:hAnsi="Times New Roman"/>
          <w:szCs w:val="24"/>
        </w:rPr>
        <w:t xml:space="preserve">Kapitalne donacije u iznosu od 319.999,63 € </w:t>
      </w:r>
      <w:r w:rsidR="00763399">
        <w:rPr>
          <w:rFonts w:ascii="Times New Roman" w:hAnsi="Times New Roman"/>
          <w:szCs w:val="24"/>
        </w:rPr>
        <w:t>odnos</w:t>
      </w:r>
      <w:r w:rsidR="00AB04D8">
        <w:rPr>
          <w:rFonts w:ascii="Times New Roman" w:hAnsi="Times New Roman"/>
          <w:szCs w:val="24"/>
        </w:rPr>
        <w:t>e</w:t>
      </w:r>
      <w:r w:rsidR="00763399">
        <w:rPr>
          <w:rFonts w:ascii="Times New Roman" w:hAnsi="Times New Roman"/>
          <w:szCs w:val="24"/>
        </w:rPr>
        <w:t xml:space="preserve"> se na rekonstrukciju krovišta izložbene hale na „Bjelovarskom sajmu“</w:t>
      </w:r>
      <w:r w:rsidR="007869AB">
        <w:rPr>
          <w:rFonts w:ascii="Times New Roman" w:hAnsi="Times New Roman"/>
          <w:szCs w:val="24"/>
        </w:rPr>
        <w:t xml:space="preserve">.  </w:t>
      </w:r>
    </w:p>
    <w:p w14:paraId="3D606564" w14:textId="77777777" w:rsidR="00AD0A22" w:rsidRDefault="00CB2C62" w:rsidP="0029684B">
      <w:pPr>
        <w:spacing w:line="360" w:lineRule="auto"/>
        <w:ind w:firstLine="708"/>
        <w:jc w:val="both"/>
        <w:rPr>
          <w:rFonts w:ascii="Times New Roman" w:hAnsi="Times New Roman"/>
          <w:szCs w:val="24"/>
        </w:rPr>
      </w:pPr>
      <w:r w:rsidRPr="00C65C1F">
        <w:rPr>
          <w:rFonts w:ascii="Times New Roman" w:hAnsi="Times New Roman"/>
          <w:szCs w:val="24"/>
        </w:rPr>
        <w:tab/>
      </w:r>
    </w:p>
    <w:p w14:paraId="550043BC" w14:textId="084BA335" w:rsidR="00D167F8" w:rsidRPr="00D167F8" w:rsidRDefault="00D167F8" w:rsidP="0029684B">
      <w:pPr>
        <w:spacing w:line="360" w:lineRule="auto"/>
        <w:ind w:firstLine="708"/>
        <w:jc w:val="both"/>
        <w:rPr>
          <w:rFonts w:ascii="Times New Roman" w:hAnsi="Times New Roman"/>
          <w:bCs/>
          <w:iCs/>
          <w:szCs w:val="24"/>
        </w:rPr>
      </w:pPr>
      <w:r>
        <w:rPr>
          <w:rFonts w:ascii="Times New Roman" w:hAnsi="Times New Roman"/>
          <w:b/>
          <w:i/>
          <w:szCs w:val="24"/>
        </w:rPr>
        <w:t xml:space="preserve">Rashodi </w:t>
      </w:r>
      <w:r>
        <w:rPr>
          <w:rFonts w:ascii="Times New Roman" w:hAnsi="Times New Roman"/>
          <w:b/>
          <w:i/>
          <w:szCs w:val="24"/>
        </w:rPr>
        <w:t xml:space="preserve">za nabavu nefinancijske imovine </w:t>
      </w:r>
      <w:r>
        <w:rPr>
          <w:rFonts w:ascii="Times New Roman" w:hAnsi="Times New Roman"/>
          <w:bCs/>
          <w:iCs/>
          <w:szCs w:val="24"/>
        </w:rPr>
        <w:t>ostvareni su u ukupnom iznosu o</w:t>
      </w:r>
      <w:r w:rsidR="00B16457">
        <w:rPr>
          <w:rFonts w:ascii="Times New Roman" w:hAnsi="Times New Roman"/>
          <w:bCs/>
          <w:iCs/>
          <w:szCs w:val="24"/>
        </w:rPr>
        <w:t>d</w:t>
      </w:r>
      <w:r>
        <w:rPr>
          <w:rFonts w:ascii="Times New Roman" w:hAnsi="Times New Roman"/>
          <w:bCs/>
          <w:iCs/>
          <w:szCs w:val="24"/>
        </w:rPr>
        <w:t xml:space="preserve"> 2.032.849,61€ što je 22,4% više nego u istom razdoblju prethodne godine.</w:t>
      </w:r>
    </w:p>
    <w:p w14:paraId="0C8240A7" w14:textId="6963438F" w:rsidR="00682640" w:rsidRDefault="009E558E" w:rsidP="0029684B">
      <w:pPr>
        <w:spacing w:line="360" w:lineRule="auto"/>
        <w:ind w:firstLine="708"/>
        <w:jc w:val="both"/>
        <w:rPr>
          <w:rFonts w:ascii="Times New Roman" w:hAnsi="Times New Roman"/>
          <w:szCs w:val="24"/>
        </w:rPr>
      </w:pPr>
      <w:r w:rsidRPr="00C65C1F">
        <w:rPr>
          <w:rFonts w:ascii="Times New Roman" w:hAnsi="Times New Roman"/>
          <w:b/>
          <w:szCs w:val="24"/>
        </w:rPr>
        <w:t>(</w:t>
      </w:r>
      <w:r w:rsidR="00CB2C62" w:rsidRPr="00C65C1F">
        <w:rPr>
          <w:rFonts w:ascii="Times New Roman" w:hAnsi="Times New Roman"/>
          <w:b/>
          <w:szCs w:val="24"/>
        </w:rPr>
        <w:t>42)</w:t>
      </w:r>
      <w:r w:rsidR="00CB2C62" w:rsidRPr="00C65C1F">
        <w:rPr>
          <w:rFonts w:ascii="Times New Roman" w:hAnsi="Times New Roman"/>
          <w:szCs w:val="24"/>
        </w:rPr>
        <w:t xml:space="preserve"> </w:t>
      </w:r>
      <w:r w:rsidR="00CB2C62" w:rsidRPr="00C65C1F">
        <w:rPr>
          <w:rFonts w:ascii="Times New Roman" w:hAnsi="Times New Roman"/>
          <w:b/>
          <w:szCs w:val="24"/>
        </w:rPr>
        <w:t>Rashodi za nabavu pro</w:t>
      </w:r>
      <w:r w:rsidR="0026507C" w:rsidRPr="00C65C1F">
        <w:rPr>
          <w:rFonts w:ascii="Times New Roman" w:hAnsi="Times New Roman"/>
          <w:b/>
          <w:szCs w:val="24"/>
        </w:rPr>
        <w:t>i</w:t>
      </w:r>
      <w:r w:rsidR="00CB2C62" w:rsidRPr="00C65C1F">
        <w:rPr>
          <w:rFonts w:ascii="Times New Roman" w:hAnsi="Times New Roman"/>
          <w:b/>
          <w:szCs w:val="24"/>
        </w:rPr>
        <w:t>zvedene dugotrajne imovine</w:t>
      </w:r>
      <w:r w:rsidR="00CB2C62" w:rsidRPr="00C65C1F">
        <w:rPr>
          <w:rFonts w:ascii="Times New Roman" w:hAnsi="Times New Roman"/>
          <w:szCs w:val="24"/>
        </w:rPr>
        <w:t xml:space="preserve"> odnose se na </w:t>
      </w:r>
      <w:r w:rsidR="00514D57">
        <w:rPr>
          <w:rFonts w:ascii="Times New Roman" w:hAnsi="Times New Roman"/>
          <w:szCs w:val="24"/>
        </w:rPr>
        <w:t xml:space="preserve"> ulaganja županije u imovinu,  </w:t>
      </w:r>
      <w:r w:rsidR="00CB2C62" w:rsidRPr="00C65C1F">
        <w:rPr>
          <w:rFonts w:ascii="Times New Roman" w:hAnsi="Times New Roman"/>
          <w:szCs w:val="24"/>
        </w:rPr>
        <w:t xml:space="preserve">opremanje </w:t>
      </w:r>
      <w:r w:rsidR="00CB2C62" w:rsidRPr="00514D57">
        <w:rPr>
          <w:rFonts w:ascii="Times New Roman" w:hAnsi="Times New Roman"/>
          <w:szCs w:val="24"/>
        </w:rPr>
        <w:t xml:space="preserve">korisnika u osnovnom i srednjem školstvu, </w:t>
      </w:r>
      <w:r w:rsidR="00514D57">
        <w:rPr>
          <w:rFonts w:ascii="Times New Roman" w:hAnsi="Times New Roman"/>
          <w:szCs w:val="24"/>
        </w:rPr>
        <w:t xml:space="preserve">zdravstvu. </w:t>
      </w:r>
      <w:r w:rsidR="00D866EC" w:rsidRPr="00514D57">
        <w:rPr>
          <w:rFonts w:ascii="Times New Roman" w:hAnsi="Times New Roman"/>
          <w:szCs w:val="24"/>
        </w:rPr>
        <w:t xml:space="preserve"> </w:t>
      </w:r>
      <w:r w:rsidR="00514D57">
        <w:rPr>
          <w:rFonts w:ascii="Times New Roman" w:hAnsi="Times New Roman"/>
          <w:szCs w:val="24"/>
        </w:rPr>
        <w:t>Od značajnijeg ulaganja Županija je</w:t>
      </w:r>
      <w:r w:rsidR="00AE736E">
        <w:rPr>
          <w:rFonts w:ascii="Times New Roman" w:hAnsi="Times New Roman"/>
          <w:szCs w:val="24"/>
        </w:rPr>
        <w:t xml:space="preserve"> zajedno sa osiguranim sredstvima „Hrvatskih voda“</w:t>
      </w:r>
      <w:r w:rsidR="00514D57">
        <w:rPr>
          <w:rFonts w:ascii="Times New Roman" w:hAnsi="Times New Roman"/>
          <w:szCs w:val="24"/>
        </w:rPr>
        <w:t xml:space="preserve"> u obračunsk</w:t>
      </w:r>
      <w:r w:rsidR="00AE736E">
        <w:rPr>
          <w:rFonts w:ascii="Times New Roman" w:hAnsi="Times New Roman"/>
          <w:szCs w:val="24"/>
        </w:rPr>
        <w:t>o</w:t>
      </w:r>
      <w:r w:rsidR="00514D57">
        <w:rPr>
          <w:rFonts w:ascii="Times New Roman" w:hAnsi="Times New Roman"/>
          <w:szCs w:val="24"/>
        </w:rPr>
        <w:t>m raz</w:t>
      </w:r>
      <w:r w:rsidR="00AE736E">
        <w:rPr>
          <w:rFonts w:ascii="Times New Roman" w:hAnsi="Times New Roman"/>
          <w:szCs w:val="24"/>
        </w:rPr>
        <w:t>d</w:t>
      </w:r>
      <w:r w:rsidR="00514D57">
        <w:rPr>
          <w:rFonts w:ascii="Times New Roman" w:hAnsi="Times New Roman"/>
          <w:szCs w:val="24"/>
        </w:rPr>
        <w:t xml:space="preserve">oblju izdvojila </w:t>
      </w:r>
      <w:r w:rsidR="00AE736E">
        <w:rPr>
          <w:rFonts w:ascii="Times New Roman" w:hAnsi="Times New Roman"/>
          <w:szCs w:val="24"/>
        </w:rPr>
        <w:t>145.812,50 € za izradu projektne dokumentacije za</w:t>
      </w:r>
      <w:r w:rsidR="00DE6E7C">
        <w:rPr>
          <w:rFonts w:ascii="Times New Roman" w:hAnsi="Times New Roman"/>
          <w:szCs w:val="24"/>
        </w:rPr>
        <w:t xml:space="preserve"> sustav</w:t>
      </w:r>
      <w:r w:rsidR="00AE736E">
        <w:rPr>
          <w:rFonts w:ascii="Times New Roman" w:hAnsi="Times New Roman"/>
          <w:szCs w:val="24"/>
        </w:rPr>
        <w:t xml:space="preserve"> navodnjavanj</w:t>
      </w:r>
      <w:r w:rsidR="00DE6E7C">
        <w:rPr>
          <w:rFonts w:ascii="Times New Roman" w:hAnsi="Times New Roman"/>
          <w:szCs w:val="24"/>
        </w:rPr>
        <w:t>a Kapelica – Kaniška Iva.</w:t>
      </w:r>
      <w:r w:rsidR="00F4765E">
        <w:rPr>
          <w:rFonts w:ascii="Times New Roman" w:hAnsi="Times New Roman"/>
          <w:szCs w:val="24"/>
        </w:rPr>
        <w:t xml:space="preserve"> </w:t>
      </w:r>
      <w:r w:rsidR="00AC1699">
        <w:rPr>
          <w:rFonts w:ascii="Times New Roman" w:hAnsi="Times New Roman"/>
          <w:szCs w:val="24"/>
        </w:rPr>
        <w:t>I</w:t>
      </w:r>
      <w:r w:rsidR="00A14211">
        <w:rPr>
          <w:rFonts w:ascii="Times New Roman" w:hAnsi="Times New Roman"/>
          <w:szCs w:val="24"/>
        </w:rPr>
        <w:t>z izvornih sredstava</w:t>
      </w:r>
      <w:r w:rsidR="00B16457">
        <w:rPr>
          <w:rFonts w:ascii="Times New Roman" w:hAnsi="Times New Roman"/>
          <w:szCs w:val="24"/>
        </w:rPr>
        <w:t>,</w:t>
      </w:r>
      <w:r w:rsidR="00A14211">
        <w:rPr>
          <w:rFonts w:ascii="Times New Roman" w:hAnsi="Times New Roman"/>
          <w:szCs w:val="24"/>
        </w:rPr>
        <w:t xml:space="preserve"> </w:t>
      </w:r>
      <w:r w:rsidR="00F4765E">
        <w:rPr>
          <w:rFonts w:ascii="Times New Roman" w:hAnsi="Times New Roman"/>
          <w:szCs w:val="24"/>
        </w:rPr>
        <w:t>za dovršetak školsko-sportske dvorane Hercegovac</w:t>
      </w:r>
      <w:r w:rsidR="00B16457">
        <w:rPr>
          <w:rFonts w:ascii="Times New Roman" w:hAnsi="Times New Roman"/>
          <w:szCs w:val="24"/>
        </w:rPr>
        <w:t>,</w:t>
      </w:r>
      <w:r w:rsidR="00F4765E">
        <w:rPr>
          <w:rFonts w:ascii="Times New Roman" w:hAnsi="Times New Roman"/>
          <w:szCs w:val="24"/>
        </w:rPr>
        <w:t xml:space="preserve"> </w:t>
      </w:r>
      <w:r w:rsidR="00A14211">
        <w:rPr>
          <w:rFonts w:ascii="Times New Roman" w:hAnsi="Times New Roman"/>
          <w:szCs w:val="24"/>
        </w:rPr>
        <w:t xml:space="preserve">izdvojeno je </w:t>
      </w:r>
      <w:r w:rsidR="00BB3F2E">
        <w:rPr>
          <w:rFonts w:ascii="Times New Roman" w:hAnsi="Times New Roman"/>
          <w:szCs w:val="24"/>
        </w:rPr>
        <w:t>148.188,44 €.</w:t>
      </w:r>
      <w:r w:rsidR="004C7329">
        <w:rPr>
          <w:rFonts w:ascii="Times New Roman" w:hAnsi="Times New Roman"/>
          <w:szCs w:val="24"/>
        </w:rPr>
        <w:t xml:space="preserve"> Prijevozna sredstva u cestovnom prometu u najvećoj mjeri odnos</w:t>
      </w:r>
      <w:r w:rsidR="00B9561C">
        <w:rPr>
          <w:rFonts w:ascii="Times New Roman" w:hAnsi="Times New Roman"/>
          <w:szCs w:val="24"/>
        </w:rPr>
        <w:t>e</w:t>
      </w:r>
      <w:r w:rsidR="004C7329">
        <w:rPr>
          <w:rFonts w:ascii="Times New Roman" w:hAnsi="Times New Roman"/>
          <w:szCs w:val="24"/>
        </w:rPr>
        <w:t xml:space="preserve"> se na nabavu kombi vozila za potrebe korisnika u školstvu</w:t>
      </w:r>
      <w:r w:rsidR="00B16457">
        <w:rPr>
          <w:rFonts w:ascii="Times New Roman" w:hAnsi="Times New Roman"/>
          <w:szCs w:val="24"/>
        </w:rPr>
        <w:t>.</w:t>
      </w:r>
    </w:p>
    <w:p w14:paraId="7BF6FF29" w14:textId="1F951647" w:rsidR="00682640" w:rsidRDefault="007050B1" w:rsidP="002C3FB6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910D3B">
        <w:rPr>
          <w:rFonts w:ascii="Times New Roman" w:hAnsi="Times New Roman" w:cs="Times New Roman"/>
          <w:b/>
          <w:sz w:val="24"/>
          <w:szCs w:val="24"/>
          <w:lang w:eastAsia="hr-HR"/>
        </w:rPr>
        <w:t>(</w:t>
      </w:r>
      <w:r w:rsidR="009E558E" w:rsidRPr="00910D3B">
        <w:rPr>
          <w:rFonts w:ascii="Times New Roman" w:hAnsi="Times New Roman" w:cs="Times New Roman"/>
          <w:b/>
          <w:sz w:val="24"/>
          <w:szCs w:val="24"/>
          <w:lang w:eastAsia="hr-HR"/>
        </w:rPr>
        <w:t>45</w:t>
      </w:r>
      <w:r w:rsidRPr="00910D3B">
        <w:rPr>
          <w:rFonts w:ascii="Times New Roman" w:hAnsi="Times New Roman" w:cs="Times New Roman"/>
          <w:b/>
          <w:sz w:val="24"/>
          <w:szCs w:val="24"/>
          <w:lang w:eastAsia="hr-HR"/>
        </w:rPr>
        <w:t xml:space="preserve">) Rashodi za dodatna ulaganja na građevinskim objektima </w:t>
      </w:r>
      <w:r w:rsidRPr="00910D3B">
        <w:rPr>
          <w:rFonts w:ascii="Times New Roman" w:hAnsi="Times New Roman" w:cs="Times New Roman"/>
          <w:sz w:val="24"/>
          <w:szCs w:val="24"/>
          <w:lang w:eastAsia="hr-HR"/>
        </w:rPr>
        <w:t xml:space="preserve">u najvećoj mjeri se odnose </w:t>
      </w:r>
      <w:r w:rsidR="00752561">
        <w:rPr>
          <w:rFonts w:ascii="Times New Roman" w:hAnsi="Times New Roman" w:cs="Times New Roman"/>
          <w:sz w:val="24"/>
          <w:szCs w:val="24"/>
          <w:lang w:eastAsia="hr-HR"/>
        </w:rPr>
        <w:t>uređenje igrališta OŠ Sirač u iznosu od 20.319,66 €,</w:t>
      </w:r>
      <w:r w:rsidR="008179D9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752561">
        <w:rPr>
          <w:rFonts w:ascii="Times New Roman" w:hAnsi="Times New Roman" w:cs="Times New Roman"/>
          <w:sz w:val="24"/>
          <w:szCs w:val="24"/>
          <w:lang w:eastAsia="hr-HR"/>
        </w:rPr>
        <w:t xml:space="preserve">dovršetak izgradnje G. </w:t>
      </w:r>
      <w:r w:rsidR="003D0DC8">
        <w:rPr>
          <w:rFonts w:ascii="Times New Roman" w:hAnsi="Times New Roman" w:cs="Times New Roman"/>
          <w:sz w:val="24"/>
          <w:szCs w:val="24"/>
          <w:lang w:eastAsia="hr-HR"/>
        </w:rPr>
        <w:t xml:space="preserve">škole V. Lisinski Bjelovar u iznosu 622.182,08 €, uređenje </w:t>
      </w:r>
      <w:r w:rsidR="006E3209">
        <w:rPr>
          <w:rFonts w:ascii="Times New Roman" w:hAnsi="Times New Roman" w:cs="Times New Roman"/>
          <w:sz w:val="24"/>
          <w:szCs w:val="24"/>
          <w:lang w:eastAsia="hr-HR"/>
        </w:rPr>
        <w:t xml:space="preserve">zgrade </w:t>
      </w:r>
      <w:r w:rsidR="003D0DC8">
        <w:rPr>
          <w:rFonts w:ascii="Times New Roman" w:hAnsi="Times New Roman" w:cs="Times New Roman"/>
          <w:sz w:val="24"/>
          <w:szCs w:val="24"/>
          <w:lang w:eastAsia="hr-HR"/>
        </w:rPr>
        <w:t>školskog dispanzera u Daruvaru, te ostala ulaganja Doma zdravlja BBŽ u iznosu od 175.296,68 €.</w:t>
      </w:r>
    </w:p>
    <w:p w14:paraId="294EDB42" w14:textId="44870700" w:rsidR="003777F0" w:rsidRPr="00381750" w:rsidRDefault="003777F0" w:rsidP="001E5BA4">
      <w:pPr>
        <w:pStyle w:val="NoSpacing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hr-HR"/>
        </w:rPr>
      </w:pPr>
    </w:p>
    <w:p w14:paraId="513E48FE" w14:textId="77777777" w:rsidR="003777F0" w:rsidRPr="006A69CF" w:rsidRDefault="003777F0" w:rsidP="007050B1">
      <w:pPr>
        <w:pStyle w:val="NoSpacing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D832631" w14:textId="77777777" w:rsidR="008A00E8" w:rsidRPr="006A69CF" w:rsidRDefault="008A00E8" w:rsidP="0078277B">
      <w:pPr>
        <w:spacing w:line="276" w:lineRule="auto"/>
        <w:jc w:val="center"/>
        <w:rPr>
          <w:rFonts w:ascii="Times New Roman" w:hAnsi="Times New Roman"/>
          <w:color w:val="000000"/>
          <w:sz w:val="22"/>
          <w:szCs w:val="22"/>
          <w:shd w:val="clear" w:color="auto" w:fill="FFFFFF"/>
        </w:rPr>
      </w:pPr>
      <w:r w:rsidRPr="006A69CF">
        <w:rPr>
          <w:rFonts w:ascii="Times New Roman" w:hAnsi="Times New Roman"/>
          <w:b/>
          <w:color w:val="000000"/>
          <w:sz w:val="22"/>
          <w:szCs w:val="22"/>
          <w:shd w:val="clear" w:color="auto" w:fill="FFFFFF"/>
        </w:rPr>
        <w:t>IZVJEŠTAJ O PRIHODIMA I RASHODIMA PREMA IZVORIMA FINANCIRANJA</w:t>
      </w:r>
    </w:p>
    <w:p w14:paraId="0B5D118D" w14:textId="77777777" w:rsidR="008A00E8" w:rsidRPr="00381750" w:rsidRDefault="008A00E8" w:rsidP="008E34C6">
      <w:pPr>
        <w:spacing w:line="276" w:lineRule="auto"/>
        <w:ind w:firstLine="708"/>
        <w:jc w:val="both"/>
        <w:rPr>
          <w:rFonts w:ascii="Times New Roman" w:hAnsi="Times New Roman"/>
          <w:szCs w:val="24"/>
          <w:highlight w:val="yellow"/>
        </w:rPr>
      </w:pPr>
    </w:p>
    <w:p w14:paraId="0C770958" w14:textId="19B96AB5" w:rsidR="004E4519" w:rsidRDefault="00881300" w:rsidP="00FF00E1">
      <w:pPr>
        <w:pStyle w:val="NoSpacing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A69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Izvore financiranja čine skupine prihoda i primitaka iz kojih se podmiruju rashodi i izdaci </w:t>
      </w:r>
      <w:r w:rsidR="00D6737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</w:t>
      </w:r>
      <w:r w:rsidRPr="006A69CF">
        <w:rPr>
          <w:rFonts w:ascii="Times New Roman" w:eastAsia="Times New Roman" w:hAnsi="Times New Roman" w:cs="Times New Roman"/>
          <w:sz w:val="24"/>
          <w:szCs w:val="24"/>
          <w:lang w:eastAsia="hr-HR"/>
        </w:rPr>
        <w:t>određene vrste i utvrđene namjene.</w:t>
      </w:r>
    </w:p>
    <w:p w14:paraId="793F615D" w14:textId="4C0A9408" w:rsidR="007A66D7" w:rsidRPr="006A69CF" w:rsidRDefault="007A66D7" w:rsidP="00FF00E1">
      <w:pPr>
        <w:pStyle w:val="NoSpacing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/>
          <w:b/>
          <w:i/>
          <w:szCs w:val="24"/>
        </w:rPr>
        <w:t>Prihodi</w:t>
      </w:r>
    </w:p>
    <w:p w14:paraId="152CD880" w14:textId="3C8BD070" w:rsidR="00557CF8" w:rsidRDefault="009B547A" w:rsidP="00A045E5">
      <w:pPr>
        <w:pStyle w:val="NoSpacing"/>
        <w:tabs>
          <w:tab w:val="left" w:pos="709"/>
        </w:tabs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57C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  <w:r w:rsidR="0093738D">
        <w:rPr>
          <w:rFonts w:ascii="Times New Roman" w:eastAsia="Times New Roman" w:hAnsi="Times New Roman" w:cs="Times New Roman"/>
          <w:sz w:val="24"/>
          <w:szCs w:val="24"/>
          <w:lang w:eastAsia="hr-HR"/>
        </w:rPr>
        <w:t>Izvor</w:t>
      </w:r>
      <w:r w:rsidR="00587E1B" w:rsidRPr="00557C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557CF8" w:rsidRPr="00557CF8">
        <w:rPr>
          <w:rFonts w:ascii="Times New Roman" w:eastAsia="Times New Roman" w:hAnsi="Times New Roman" w:cs="Times New Roman"/>
          <w:sz w:val="24"/>
          <w:szCs w:val="24"/>
          <w:lang w:eastAsia="hr-HR"/>
        </w:rPr>
        <w:t>11</w:t>
      </w:r>
      <w:r w:rsidR="00557C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ostvaren</w:t>
      </w:r>
      <w:r w:rsidR="008E3D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</w:t>
      </w:r>
      <w:r w:rsidR="00557C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22,86%</w:t>
      </w:r>
      <w:r w:rsidR="00557CF8" w:rsidRPr="00557C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557CF8">
        <w:rPr>
          <w:rFonts w:ascii="Times New Roman" w:eastAsia="Times New Roman" w:hAnsi="Times New Roman" w:cs="Times New Roman"/>
          <w:sz w:val="24"/>
          <w:szCs w:val="24"/>
          <w:lang w:eastAsia="hr-HR"/>
        </w:rPr>
        <w:t>više u odnosu na isto razdoblje prošle godine zbog bolje naplate poreza na dohodak.</w:t>
      </w:r>
    </w:p>
    <w:p w14:paraId="3CDB4C52" w14:textId="09407CEB" w:rsidR="00A23979" w:rsidRDefault="00207DA4" w:rsidP="00FF00E1">
      <w:pPr>
        <w:pStyle w:val="NoSpacing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A23979">
        <w:rPr>
          <w:rFonts w:ascii="Times New Roman" w:eastAsia="Times New Roman" w:hAnsi="Times New Roman" w:cs="Times New Roman"/>
          <w:sz w:val="24"/>
          <w:szCs w:val="24"/>
          <w:lang w:eastAsia="hr-HR"/>
        </w:rPr>
        <w:t>Izvor 14 Prihodi od nefinancijske imovine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prvom polugodištu ove godine</w:t>
      </w:r>
      <w:r w:rsidR="00A239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naplaćeni su više za 116,45% iz </w:t>
      </w:r>
      <w:r w:rsidR="00253D5D">
        <w:rPr>
          <w:rFonts w:ascii="Times New Roman" w:eastAsia="Times New Roman" w:hAnsi="Times New Roman" w:cs="Times New Roman"/>
          <w:sz w:val="24"/>
          <w:szCs w:val="24"/>
          <w:lang w:eastAsia="hr-HR"/>
        </w:rPr>
        <w:t>razloga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bolje naplate naknada za koncesije i naknada za korištenje nefinancijske imovine.</w:t>
      </w:r>
    </w:p>
    <w:p w14:paraId="0A04F9EC" w14:textId="48F8C5E0" w:rsidR="005F2278" w:rsidRDefault="005F2278" w:rsidP="005F2278">
      <w:pPr>
        <w:pStyle w:val="NoSpacing"/>
        <w:tabs>
          <w:tab w:val="left" w:pos="709"/>
        </w:tabs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Izvor 35 Prihodi za posebne namjene – korisnici smanjen je u odnosu na isto razdoblje prošle godine iz razloga</w:t>
      </w:r>
      <w:r w:rsidR="00AA7E0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promjene nadležnosti proračuna </w:t>
      </w:r>
      <w:r w:rsidR="00E169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Općoj </w:t>
      </w:r>
      <w:r w:rsidR="00AA7E01">
        <w:rPr>
          <w:rFonts w:ascii="Times New Roman" w:eastAsia="Times New Roman" w:hAnsi="Times New Roman" w:cs="Times New Roman"/>
          <w:sz w:val="24"/>
          <w:szCs w:val="24"/>
          <w:lang w:eastAsia="hr-HR"/>
        </w:rPr>
        <w:t>Bolnic</w:t>
      </w:r>
      <w:r w:rsidR="00E16939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="00AA7E0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E252E">
        <w:rPr>
          <w:rFonts w:ascii="Times New Roman" w:eastAsia="Times New Roman" w:hAnsi="Times New Roman" w:cs="Times New Roman"/>
          <w:sz w:val="24"/>
          <w:szCs w:val="24"/>
          <w:lang w:eastAsia="hr-HR"/>
        </w:rPr>
        <w:t>Dr. Anđelko Višić</w:t>
      </w:r>
      <w:r w:rsidR="00AA7E0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koja je velikim dijelom ostvarivala navedene prihode</w:t>
      </w:r>
      <w:r w:rsidR="00EA066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5ACFC5F6" w14:textId="73CC2A7F" w:rsidR="00EA066D" w:rsidRDefault="00EA066D" w:rsidP="005F2278">
      <w:pPr>
        <w:pStyle w:val="NoSpacing"/>
        <w:tabs>
          <w:tab w:val="left" w:pos="709"/>
        </w:tabs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Izvor 41 Pomoći iz Riznice i ministarstava </w:t>
      </w:r>
      <w:r w:rsidR="006B2F8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povećan je iz razloga što su doznačena sredstva za plaće korisnika koje osigurava Državni proračun rasla u skladu sa </w:t>
      </w:r>
      <w:r w:rsidR="008361AF">
        <w:rPr>
          <w:rFonts w:ascii="Times New Roman" w:eastAsia="Times New Roman" w:hAnsi="Times New Roman" w:cs="Times New Roman"/>
          <w:sz w:val="24"/>
          <w:szCs w:val="24"/>
          <w:lang w:eastAsia="hr-HR"/>
        </w:rPr>
        <w:t>važećim zakonskim propisima.</w:t>
      </w:r>
    </w:p>
    <w:p w14:paraId="6162E89B" w14:textId="75A098E8" w:rsidR="00E16939" w:rsidRDefault="00E16939" w:rsidP="005F2278">
      <w:pPr>
        <w:pStyle w:val="NoSpacing"/>
        <w:tabs>
          <w:tab w:val="left" w:pos="709"/>
        </w:tabs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Izvor 51 donacije u najvećoj mjeri odnose se na donacije korisnicima u školstvu.</w:t>
      </w:r>
      <w:r w:rsidR="00EB2B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2D16F06C" w14:textId="77777777" w:rsidR="001E5BA4" w:rsidRDefault="001E5BA4" w:rsidP="005F2278">
      <w:pPr>
        <w:pStyle w:val="NoSpacing"/>
        <w:tabs>
          <w:tab w:val="left" w:pos="709"/>
        </w:tabs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B84F5E" w14:textId="4CDDCB46" w:rsidR="00E66259" w:rsidRPr="000416B6" w:rsidRDefault="007A66D7" w:rsidP="005F2278">
      <w:pPr>
        <w:pStyle w:val="NoSpacing"/>
        <w:tabs>
          <w:tab w:val="left" w:pos="709"/>
        </w:tabs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416B6">
        <w:rPr>
          <w:rFonts w:ascii="Times New Roman" w:hAnsi="Times New Roman"/>
          <w:b/>
          <w:i/>
          <w:sz w:val="24"/>
          <w:szCs w:val="24"/>
        </w:rPr>
        <w:t>Rashodi</w:t>
      </w:r>
    </w:p>
    <w:p w14:paraId="78C8FB45" w14:textId="3241A888" w:rsidR="00E66259" w:rsidRDefault="007A66D7" w:rsidP="005F2278">
      <w:pPr>
        <w:pStyle w:val="NoSpacing"/>
        <w:tabs>
          <w:tab w:val="left" w:pos="709"/>
        </w:tabs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="00E6625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 izvora 11 financiraju </w:t>
      </w:r>
      <w:r w:rsidR="00D2574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se </w:t>
      </w:r>
      <w:r w:rsidR="00E66259">
        <w:rPr>
          <w:rFonts w:ascii="Times New Roman" w:eastAsia="Times New Roman" w:hAnsi="Times New Roman" w:cs="Times New Roman"/>
          <w:sz w:val="24"/>
          <w:szCs w:val="24"/>
          <w:lang w:eastAsia="hr-HR"/>
        </w:rPr>
        <w:t>sve redovne aktivnosti upravnih odjela</w:t>
      </w:r>
      <w:r w:rsidR="00E816F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F45D4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E6625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E816F9"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 w:rsidR="00E6625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ovećanje u odnosu na prošlogodišnje izvršenje </w:t>
      </w:r>
      <w:r w:rsidR="00973F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isto razdoblje </w:t>
      </w:r>
      <w:r w:rsidR="00E66259">
        <w:rPr>
          <w:rFonts w:ascii="Times New Roman" w:eastAsia="Times New Roman" w:hAnsi="Times New Roman" w:cs="Times New Roman"/>
          <w:sz w:val="24"/>
          <w:szCs w:val="24"/>
          <w:lang w:eastAsia="hr-HR"/>
        </w:rPr>
        <w:t>odnosi se na aktivnosti  financiranja programa malog, srednjeg poduzetništva i obrtništva, javnu uslugu prijevoza, sufinanciranje prijevoza učenika osnovnih škola</w:t>
      </w:r>
      <w:r w:rsidR="00973F54">
        <w:rPr>
          <w:rFonts w:ascii="Times New Roman" w:eastAsia="Times New Roman" w:hAnsi="Times New Roman" w:cs="Times New Roman"/>
          <w:sz w:val="24"/>
          <w:szCs w:val="24"/>
          <w:lang w:eastAsia="hr-HR"/>
        </w:rPr>
        <w:t>, dovršetak izgradnje školsko-sportske dvorane u Hercegovcu</w:t>
      </w:r>
      <w:r w:rsidR="00F45D4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sufinanciranje izrade projektno-tehničke dokumentacije, te osiguravanje dodatnih sredstava za financiranje plaća </w:t>
      </w:r>
      <w:r w:rsidR="00E816F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</w:t>
      </w:r>
      <w:r w:rsidR="00F45D45">
        <w:rPr>
          <w:rFonts w:ascii="Times New Roman" w:eastAsia="Times New Roman" w:hAnsi="Times New Roman" w:cs="Times New Roman"/>
          <w:sz w:val="24"/>
          <w:szCs w:val="24"/>
          <w:lang w:eastAsia="hr-HR"/>
        </w:rPr>
        <w:t>Dom</w:t>
      </w:r>
      <w:r w:rsidR="00E816F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</w:t>
      </w:r>
      <w:r w:rsidR="00F45D4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starije osobe. </w:t>
      </w:r>
    </w:p>
    <w:p w14:paraId="3C212668" w14:textId="4B726B2C" w:rsidR="00E934B8" w:rsidRDefault="00E856C3" w:rsidP="005F2278">
      <w:pPr>
        <w:pStyle w:val="NoSpacing"/>
        <w:tabs>
          <w:tab w:val="left" w:pos="709"/>
        </w:tabs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Rashodi koji se financiraju iz izvora Prihodi za posebne namjene, p</w:t>
      </w:r>
      <w:r w:rsidR="00E934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omoći i donacije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utrošeni su za točno utvrđene namjene. </w:t>
      </w:r>
    </w:p>
    <w:p w14:paraId="1A6AD300" w14:textId="77777777" w:rsidR="00E16939" w:rsidRDefault="00E16939" w:rsidP="005F2278">
      <w:pPr>
        <w:pStyle w:val="NoSpacing"/>
        <w:tabs>
          <w:tab w:val="left" w:pos="709"/>
        </w:tabs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517327C" w14:textId="77777777" w:rsidR="00DA7697" w:rsidRPr="00805A7C" w:rsidRDefault="00DA7697" w:rsidP="00DA7697">
      <w:pPr>
        <w:spacing w:line="276" w:lineRule="auto"/>
        <w:ind w:firstLine="708"/>
        <w:jc w:val="center"/>
        <w:rPr>
          <w:rFonts w:ascii="Times New Roman" w:hAnsi="Times New Roman"/>
          <w:b/>
          <w:sz w:val="22"/>
          <w:szCs w:val="22"/>
        </w:rPr>
      </w:pPr>
      <w:r w:rsidRPr="00805A7C">
        <w:rPr>
          <w:rFonts w:ascii="Times New Roman" w:hAnsi="Times New Roman"/>
          <w:b/>
          <w:sz w:val="22"/>
          <w:szCs w:val="22"/>
        </w:rPr>
        <w:t>IZVJEŠTAJ O RASHODIMA PREMA FUNKCIJSKOJ  KLASIFIKACIJI</w:t>
      </w:r>
    </w:p>
    <w:p w14:paraId="62D936B2" w14:textId="77777777" w:rsidR="00C71330" w:rsidRDefault="00C71330" w:rsidP="00FF00E1">
      <w:pPr>
        <w:spacing w:line="360" w:lineRule="auto"/>
        <w:ind w:firstLine="708"/>
        <w:jc w:val="both"/>
        <w:rPr>
          <w:rFonts w:ascii="Times New Roman" w:hAnsi="Times New Roman"/>
          <w:b/>
          <w:szCs w:val="24"/>
          <w:highlight w:val="yellow"/>
        </w:rPr>
      </w:pPr>
    </w:p>
    <w:p w14:paraId="6AC0E991" w14:textId="1348E948" w:rsidR="00DA7697" w:rsidRPr="00381750" w:rsidRDefault="00DA7697" w:rsidP="00FF00E1">
      <w:pPr>
        <w:spacing w:line="360" w:lineRule="auto"/>
        <w:ind w:firstLine="708"/>
        <w:jc w:val="both"/>
        <w:rPr>
          <w:rFonts w:ascii="Times New Roman" w:hAnsi="Times New Roman"/>
          <w:szCs w:val="24"/>
          <w:highlight w:val="yellow"/>
        </w:rPr>
      </w:pPr>
      <w:r w:rsidRPr="008F58C7">
        <w:rPr>
          <w:rFonts w:ascii="Times New Roman" w:hAnsi="Times New Roman"/>
          <w:b/>
          <w:szCs w:val="24"/>
        </w:rPr>
        <w:t>Funkcija 0</w:t>
      </w:r>
      <w:r w:rsidR="000C3793" w:rsidRPr="008F58C7">
        <w:rPr>
          <w:rFonts w:ascii="Times New Roman" w:hAnsi="Times New Roman"/>
          <w:b/>
          <w:szCs w:val="24"/>
        </w:rPr>
        <w:t>4</w:t>
      </w:r>
      <w:r w:rsidRPr="008F58C7">
        <w:rPr>
          <w:rFonts w:ascii="Times New Roman" w:hAnsi="Times New Roman"/>
          <w:b/>
          <w:szCs w:val="24"/>
        </w:rPr>
        <w:t xml:space="preserve"> </w:t>
      </w:r>
      <w:r w:rsidR="000C3793" w:rsidRPr="008F58C7">
        <w:rPr>
          <w:rFonts w:ascii="Times New Roman" w:hAnsi="Times New Roman"/>
          <w:b/>
          <w:szCs w:val="24"/>
        </w:rPr>
        <w:t xml:space="preserve"> Ekonomski poslovi </w:t>
      </w:r>
      <w:r w:rsidRPr="008F58C7">
        <w:rPr>
          <w:rFonts w:ascii="Times New Roman" w:hAnsi="Times New Roman"/>
          <w:szCs w:val="24"/>
        </w:rPr>
        <w:t xml:space="preserve"> u odnosu na promatrano razdoblje prošle godine povećane su zbog uvođenja</w:t>
      </w:r>
      <w:r w:rsidR="000C3793" w:rsidRPr="008F58C7">
        <w:rPr>
          <w:rFonts w:ascii="Times New Roman" w:hAnsi="Times New Roman"/>
          <w:szCs w:val="24"/>
        </w:rPr>
        <w:t xml:space="preserve"> javne usluge prijevoza putnika u cestovnom prometu</w:t>
      </w:r>
      <w:r w:rsidR="008F58C7" w:rsidRPr="008F58C7">
        <w:rPr>
          <w:rFonts w:ascii="Times New Roman" w:hAnsi="Times New Roman"/>
          <w:szCs w:val="24"/>
        </w:rPr>
        <w:t>, potpora razvoja kontinentalnog turizma, financiranja javne turističke infrastrukture</w:t>
      </w:r>
      <w:r w:rsidR="00CB63B9">
        <w:rPr>
          <w:rFonts w:ascii="Times New Roman" w:hAnsi="Times New Roman"/>
          <w:szCs w:val="24"/>
        </w:rPr>
        <w:t xml:space="preserve">, revitalizaciije prostora na Bjelovarskom sajmu </w:t>
      </w:r>
      <w:r w:rsidR="00BC2147">
        <w:rPr>
          <w:rFonts w:ascii="Times New Roman" w:hAnsi="Times New Roman"/>
          <w:szCs w:val="24"/>
        </w:rPr>
        <w:t xml:space="preserve"> </w:t>
      </w:r>
      <w:r w:rsidR="008F58C7">
        <w:rPr>
          <w:rFonts w:ascii="Times New Roman" w:hAnsi="Times New Roman"/>
          <w:szCs w:val="24"/>
        </w:rPr>
        <w:t xml:space="preserve">koji su razvrstani u </w:t>
      </w:r>
      <w:r w:rsidR="001C2770">
        <w:rPr>
          <w:rFonts w:ascii="Times New Roman" w:hAnsi="Times New Roman"/>
          <w:szCs w:val="24"/>
        </w:rPr>
        <w:t>podfunkcije</w:t>
      </w:r>
      <w:r w:rsidR="008F58C7">
        <w:rPr>
          <w:rFonts w:ascii="Times New Roman" w:hAnsi="Times New Roman"/>
          <w:szCs w:val="24"/>
        </w:rPr>
        <w:t xml:space="preserve"> navedene funkcije. </w:t>
      </w:r>
    </w:p>
    <w:p w14:paraId="40642653" w14:textId="77777777" w:rsidR="00121B91" w:rsidRDefault="00121B91" w:rsidP="001531C3">
      <w:pPr>
        <w:spacing w:line="276" w:lineRule="auto"/>
        <w:rPr>
          <w:rFonts w:ascii="Times New Roman" w:hAnsi="Times New Roman"/>
          <w:b/>
          <w:sz w:val="22"/>
          <w:szCs w:val="22"/>
          <w:highlight w:val="yellow"/>
        </w:rPr>
      </w:pPr>
    </w:p>
    <w:p w14:paraId="0B36307A" w14:textId="77777777" w:rsidR="00121B91" w:rsidRDefault="00121B91" w:rsidP="00C43E73">
      <w:pPr>
        <w:spacing w:line="276" w:lineRule="auto"/>
        <w:jc w:val="center"/>
        <w:rPr>
          <w:rFonts w:ascii="Times New Roman" w:hAnsi="Times New Roman"/>
          <w:b/>
          <w:sz w:val="22"/>
          <w:szCs w:val="22"/>
          <w:highlight w:val="yellow"/>
        </w:rPr>
      </w:pPr>
    </w:p>
    <w:p w14:paraId="7A1175A0" w14:textId="5D1F0CAD" w:rsidR="00881300" w:rsidRPr="00121B91" w:rsidRDefault="00B60E46" w:rsidP="00C43E73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 w:rsidRPr="00121B91">
        <w:rPr>
          <w:rFonts w:ascii="Times New Roman" w:hAnsi="Times New Roman"/>
          <w:b/>
          <w:sz w:val="22"/>
          <w:szCs w:val="22"/>
        </w:rPr>
        <w:t>IZVJEŠTAJ RAČUNA FINANCIRANJA PREMA EKONOMSKOJ KLASIFIKACIJI</w:t>
      </w:r>
    </w:p>
    <w:p w14:paraId="0ADA8020" w14:textId="77777777" w:rsidR="00881300" w:rsidRPr="00381750" w:rsidRDefault="00881300" w:rsidP="008E34C6">
      <w:pPr>
        <w:spacing w:line="276" w:lineRule="auto"/>
        <w:ind w:firstLine="708"/>
        <w:jc w:val="both"/>
        <w:rPr>
          <w:rFonts w:ascii="Times New Roman" w:hAnsi="Times New Roman"/>
          <w:b/>
          <w:szCs w:val="24"/>
          <w:highlight w:val="yellow"/>
        </w:rPr>
      </w:pPr>
    </w:p>
    <w:p w14:paraId="7B720EFB" w14:textId="77337A62" w:rsidR="00B60E46" w:rsidRDefault="00951B7B" w:rsidP="00951B7B">
      <w:pPr>
        <w:spacing w:line="276" w:lineRule="auto"/>
        <w:jc w:val="both"/>
        <w:rPr>
          <w:rFonts w:ascii="Times New Roman" w:hAnsi="Times New Roman"/>
          <w:szCs w:val="24"/>
        </w:rPr>
      </w:pPr>
      <w:r w:rsidRPr="00F317C2">
        <w:rPr>
          <w:rFonts w:ascii="Times New Roman" w:hAnsi="Times New Roman"/>
          <w:b/>
          <w:szCs w:val="24"/>
        </w:rPr>
        <w:tab/>
      </w:r>
      <w:r w:rsidRPr="00F317C2">
        <w:rPr>
          <w:rFonts w:ascii="Times New Roman" w:hAnsi="Times New Roman"/>
          <w:szCs w:val="24"/>
        </w:rPr>
        <w:t>N</w:t>
      </w:r>
      <w:r w:rsidR="006543CA" w:rsidRPr="00F317C2">
        <w:rPr>
          <w:rFonts w:ascii="Times New Roman" w:hAnsi="Times New Roman"/>
          <w:szCs w:val="24"/>
        </w:rPr>
        <w:t>avedeni izvještaj sadrži prikaz primitaka i izdataka prema ekonomskoj klasifikaciji</w:t>
      </w:r>
      <w:r w:rsidR="00DB1F0D" w:rsidRPr="00F317C2">
        <w:rPr>
          <w:rFonts w:ascii="Times New Roman" w:hAnsi="Times New Roman"/>
          <w:szCs w:val="24"/>
        </w:rPr>
        <w:t>.</w:t>
      </w:r>
    </w:p>
    <w:p w14:paraId="0CEAF6F1" w14:textId="2D104069" w:rsidR="000416B6" w:rsidRDefault="000416B6" w:rsidP="00951B7B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6383D336" w14:textId="5D4C72C2" w:rsidR="000416B6" w:rsidRDefault="000416B6" w:rsidP="000416B6">
      <w:pPr>
        <w:pStyle w:val="NoSpacing"/>
        <w:tabs>
          <w:tab w:val="left" w:pos="709"/>
        </w:tabs>
        <w:spacing w:line="360" w:lineRule="auto"/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0416B6">
        <w:rPr>
          <w:rFonts w:ascii="Times New Roman" w:hAnsi="Times New Roman"/>
          <w:b/>
          <w:i/>
          <w:sz w:val="24"/>
          <w:szCs w:val="24"/>
        </w:rPr>
        <w:t>Primici od financijske imovine i zaduživanja</w:t>
      </w:r>
      <w:r>
        <w:rPr>
          <w:rFonts w:ascii="Times New Roman" w:hAnsi="Times New Roman"/>
          <w:szCs w:val="24"/>
        </w:rPr>
        <w:t xml:space="preserve"> </w:t>
      </w:r>
      <w:r w:rsidRPr="000416B6">
        <w:rPr>
          <w:rFonts w:ascii="Times New Roman" w:eastAsia="Times New Roman" w:hAnsi="Times New Roman" w:cs="Times New Roman"/>
          <w:sz w:val="24"/>
          <w:szCs w:val="24"/>
          <w:lang w:eastAsia="hr-HR"/>
        </w:rPr>
        <w:t>izvršeni su u ukupnom iznosu od 604.325,43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€ odnosno 31,48% u odnosu na plan tekuće godine a 53,94% manje u odnosu na prethodnu godinu.</w:t>
      </w:r>
    </w:p>
    <w:p w14:paraId="6C112137" w14:textId="77777777" w:rsidR="00D8557C" w:rsidRPr="00F317C2" w:rsidRDefault="00D8557C" w:rsidP="00951B7B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0459B1D7" w14:textId="57114470" w:rsidR="009548E7" w:rsidRDefault="00DB1F0D" w:rsidP="00BC73DA">
      <w:pPr>
        <w:tabs>
          <w:tab w:val="left" w:pos="709"/>
        </w:tabs>
        <w:spacing w:line="360" w:lineRule="auto"/>
        <w:jc w:val="both"/>
        <w:rPr>
          <w:rFonts w:ascii="Times New Roman" w:hAnsi="Times New Roman"/>
          <w:szCs w:val="24"/>
        </w:rPr>
      </w:pPr>
      <w:r w:rsidRPr="00D8557C">
        <w:rPr>
          <w:rFonts w:ascii="Times New Roman" w:hAnsi="Times New Roman"/>
          <w:szCs w:val="24"/>
        </w:rPr>
        <w:tab/>
      </w:r>
      <w:r w:rsidR="00FA7EA7" w:rsidRPr="00D8557C">
        <w:rPr>
          <w:rFonts w:ascii="Times New Roman" w:hAnsi="Times New Roman"/>
          <w:szCs w:val="24"/>
        </w:rPr>
        <w:t>(</w:t>
      </w:r>
      <w:r w:rsidRPr="00D8557C">
        <w:rPr>
          <w:rFonts w:ascii="Times New Roman" w:hAnsi="Times New Roman"/>
          <w:b/>
          <w:szCs w:val="24"/>
        </w:rPr>
        <w:t>84) Primici od zaduživanja</w:t>
      </w:r>
      <w:r w:rsidR="001F7944" w:rsidRPr="00D8557C">
        <w:rPr>
          <w:rFonts w:ascii="Times New Roman" w:hAnsi="Times New Roman"/>
          <w:szCs w:val="24"/>
        </w:rPr>
        <w:tab/>
      </w:r>
      <w:r w:rsidR="00DF706F" w:rsidRPr="00D8557C">
        <w:rPr>
          <w:rFonts w:ascii="Times New Roman" w:hAnsi="Times New Roman"/>
          <w:szCs w:val="24"/>
        </w:rPr>
        <w:t>u</w:t>
      </w:r>
      <w:r w:rsidR="008A26E7" w:rsidRPr="00D8557C">
        <w:rPr>
          <w:rFonts w:ascii="Times New Roman" w:hAnsi="Times New Roman"/>
          <w:szCs w:val="24"/>
        </w:rPr>
        <w:t xml:space="preserve"> obračunskom razdoblju iznose</w:t>
      </w:r>
      <w:r w:rsidR="00BC73DA">
        <w:rPr>
          <w:rFonts w:ascii="Times New Roman" w:hAnsi="Times New Roman"/>
          <w:szCs w:val="24"/>
        </w:rPr>
        <w:t xml:space="preserve"> </w:t>
      </w:r>
      <w:r w:rsidR="00D8557C">
        <w:rPr>
          <w:rFonts w:ascii="Times New Roman" w:hAnsi="Times New Roman"/>
          <w:szCs w:val="24"/>
        </w:rPr>
        <w:t>604.325,43</w:t>
      </w:r>
      <w:r w:rsidR="009915A0">
        <w:rPr>
          <w:rFonts w:ascii="Times New Roman" w:hAnsi="Times New Roman"/>
          <w:szCs w:val="24"/>
        </w:rPr>
        <w:t xml:space="preserve"> </w:t>
      </w:r>
      <w:r w:rsidR="008A26E7" w:rsidRPr="00D8557C">
        <w:rPr>
          <w:rFonts w:ascii="Times New Roman" w:hAnsi="Times New Roman"/>
          <w:szCs w:val="24"/>
        </w:rPr>
        <w:t>€.</w:t>
      </w:r>
      <w:r w:rsidR="00DF706F" w:rsidRPr="00D8557C">
        <w:rPr>
          <w:rFonts w:ascii="Times New Roman" w:hAnsi="Times New Roman"/>
          <w:szCs w:val="24"/>
        </w:rPr>
        <w:t xml:space="preserve"> </w:t>
      </w:r>
      <w:r w:rsidR="008A26E7" w:rsidRPr="00D8557C">
        <w:rPr>
          <w:rFonts w:ascii="Times New Roman" w:hAnsi="Times New Roman"/>
          <w:szCs w:val="24"/>
        </w:rPr>
        <w:t xml:space="preserve">Iznos </w:t>
      </w:r>
      <w:r w:rsidR="00DF706F" w:rsidRPr="00D8557C">
        <w:rPr>
          <w:rFonts w:ascii="Times New Roman" w:hAnsi="Times New Roman"/>
          <w:szCs w:val="24"/>
        </w:rPr>
        <w:t>od</w:t>
      </w:r>
      <w:r w:rsidR="001F7944" w:rsidRPr="00D8557C">
        <w:rPr>
          <w:rFonts w:ascii="Times New Roman" w:hAnsi="Times New Roman"/>
          <w:szCs w:val="24"/>
        </w:rPr>
        <w:t xml:space="preserve"> </w:t>
      </w:r>
      <w:r w:rsidR="00FA05FA" w:rsidRPr="00FA05FA">
        <w:rPr>
          <w:rFonts w:ascii="Times New Roman" w:hAnsi="Times New Roman"/>
          <w:szCs w:val="24"/>
        </w:rPr>
        <w:t>524.142,75</w:t>
      </w:r>
      <w:r w:rsidR="001F7944" w:rsidRPr="00D8557C">
        <w:rPr>
          <w:rFonts w:ascii="Times New Roman" w:hAnsi="Times New Roman"/>
          <w:szCs w:val="24"/>
        </w:rPr>
        <w:t xml:space="preserve"> € odnosi se na povlačenje kredita Glazbene škole V. Lisinski Bjelovar</w:t>
      </w:r>
      <w:r w:rsidR="001531C3">
        <w:rPr>
          <w:rFonts w:ascii="Times New Roman" w:hAnsi="Times New Roman"/>
          <w:szCs w:val="24"/>
        </w:rPr>
        <w:t xml:space="preserve"> a</w:t>
      </w:r>
      <w:r w:rsidR="00036B23">
        <w:rPr>
          <w:rFonts w:ascii="Times New Roman" w:hAnsi="Times New Roman"/>
          <w:szCs w:val="24"/>
        </w:rPr>
        <w:t xml:space="preserve"> </w:t>
      </w:r>
      <w:r w:rsidR="00FA05FA">
        <w:rPr>
          <w:rFonts w:ascii="Times New Roman" w:hAnsi="Times New Roman"/>
          <w:szCs w:val="24"/>
        </w:rPr>
        <w:t xml:space="preserve">ostatak iznosa </w:t>
      </w:r>
      <w:r w:rsidR="00036B23">
        <w:rPr>
          <w:rFonts w:ascii="Times New Roman" w:hAnsi="Times New Roman"/>
          <w:szCs w:val="24"/>
        </w:rPr>
        <w:t>odnosi se na leasing za nabavu  kombi vozila za potrebe korisnika</w:t>
      </w:r>
      <w:r w:rsidR="001531C3">
        <w:rPr>
          <w:rFonts w:ascii="Times New Roman" w:hAnsi="Times New Roman"/>
          <w:szCs w:val="24"/>
        </w:rPr>
        <w:t xml:space="preserve"> u školstvu</w:t>
      </w:r>
      <w:r w:rsidR="00036B23">
        <w:rPr>
          <w:rFonts w:ascii="Times New Roman" w:hAnsi="Times New Roman"/>
          <w:szCs w:val="24"/>
        </w:rPr>
        <w:t xml:space="preserve">. </w:t>
      </w:r>
    </w:p>
    <w:p w14:paraId="635E7296" w14:textId="395ED496" w:rsidR="00A16432" w:rsidRDefault="00A16432" w:rsidP="00BC73DA">
      <w:pPr>
        <w:tabs>
          <w:tab w:val="left" w:pos="709"/>
        </w:tabs>
        <w:spacing w:line="360" w:lineRule="auto"/>
        <w:jc w:val="both"/>
        <w:rPr>
          <w:rFonts w:ascii="Times New Roman" w:hAnsi="Times New Roman"/>
          <w:szCs w:val="24"/>
        </w:rPr>
      </w:pPr>
    </w:p>
    <w:p w14:paraId="060E4E25" w14:textId="24DC2240" w:rsidR="00A16432" w:rsidRPr="00A16432" w:rsidRDefault="00A16432" w:rsidP="00BC73DA">
      <w:pPr>
        <w:tabs>
          <w:tab w:val="left" w:pos="709"/>
        </w:tabs>
        <w:spacing w:line="360" w:lineRule="auto"/>
        <w:jc w:val="both"/>
        <w:rPr>
          <w:rFonts w:ascii="Times New Roman" w:hAnsi="Times New Roman"/>
          <w:bCs/>
          <w:iCs/>
          <w:szCs w:val="24"/>
        </w:rPr>
      </w:pPr>
      <w:r>
        <w:rPr>
          <w:rFonts w:ascii="Times New Roman" w:hAnsi="Times New Roman"/>
          <w:b/>
          <w:i/>
          <w:szCs w:val="24"/>
        </w:rPr>
        <w:tab/>
        <w:t xml:space="preserve">Izdaci za financijsku imovinu i otplate zajmova </w:t>
      </w:r>
      <w:r w:rsidR="00FA05FA">
        <w:rPr>
          <w:rFonts w:ascii="Times New Roman" w:hAnsi="Times New Roman"/>
          <w:bCs/>
          <w:iCs/>
          <w:szCs w:val="24"/>
        </w:rPr>
        <w:t>iznose 1.704.591,55 €, odnosno 80,33% što je 50,26% manje u odnosu na prethodnu godinu.</w:t>
      </w:r>
    </w:p>
    <w:p w14:paraId="000836F0" w14:textId="34859B16" w:rsidR="00B60E46" w:rsidRPr="00381750" w:rsidRDefault="00834B7F" w:rsidP="00BC73DA">
      <w:pPr>
        <w:spacing w:line="360" w:lineRule="auto"/>
        <w:ind w:firstLine="708"/>
        <w:jc w:val="both"/>
        <w:rPr>
          <w:rFonts w:ascii="Times New Roman" w:hAnsi="Times New Roman"/>
          <w:szCs w:val="24"/>
          <w:highlight w:val="yellow"/>
        </w:rPr>
      </w:pPr>
      <w:r w:rsidRPr="003D0997">
        <w:rPr>
          <w:rFonts w:ascii="Times New Roman" w:hAnsi="Times New Roman"/>
          <w:b/>
          <w:szCs w:val="24"/>
        </w:rPr>
        <w:lastRenderedPageBreak/>
        <w:t xml:space="preserve">(54) Izdaci za otplatu glavnice primljenih kredita i zajmova </w:t>
      </w:r>
      <w:r w:rsidRPr="003D0997">
        <w:rPr>
          <w:rFonts w:ascii="Times New Roman" w:hAnsi="Times New Roman"/>
          <w:szCs w:val="24"/>
        </w:rPr>
        <w:t>obuhvaća otplatu glavnic</w:t>
      </w:r>
      <w:r w:rsidR="00EC35C0" w:rsidRPr="003D0997">
        <w:rPr>
          <w:rFonts w:ascii="Times New Roman" w:hAnsi="Times New Roman"/>
          <w:szCs w:val="24"/>
        </w:rPr>
        <w:t>e</w:t>
      </w:r>
      <w:r w:rsidRPr="003D0997">
        <w:rPr>
          <w:rFonts w:ascii="Times New Roman" w:hAnsi="Times New Roman"/>
          <w:szCs w:val="24"/>
        </w:rPr>
        <w:t xml:space="preserve"> </w:t>
      </w:r>
      <w:r w:rsidR="004761F5" w:rsidRPr="003D0997">
        <w:rPr>
          <w:rFonts w:ascii="Times New Roman" w:hAnsi="Times New Roman"/>
          <w:szCs w:val="24"/>
        </w:rPr>
        <w:t xml:space="preserve"> </w:t>
      </w:r>
      <w:r w:rsidR="001C3D3F" w:rsidRPr="003D0997">
        <w:rPr>
          <w:rFonts w:ascii="Times New Roman" w:hAnsi="Times New Roman"/>
          <w:szCs w:val="24"/>
        </w:rPr>
        <w:t xml:space="preserve">za četiri školsko-športske dvorane u iznosu </w:t>
      </w:r>
      <w:r w:rsidR="00FA05FA">
        <w:rPr>
          <w:rFonts w:ascii="Times New Roman" w:hAnsi="Times New Roman"/>
          <w:szCs w:val="24"/>
        </w:rPr>
        <w:t>197.068,60</w:t>
      </w:r>
      <w:r w:rsidR="001C3D3F" w:rsidRPr="003D0997">
        <w:rPr>
          <w:rFonts w:ascii="Times New Roman" w:hAnsi="Times New Roman"/>
          <w:szCs w:val="24"/>
        </w:rPr>
        <w:t xml:space="preserve"> €</w:t>
      </w:r>
      <w:r w:rsidR="003D0997">
        <w:rPr>
          <w:rFonts w:ascii="Times New Roman" w:hAnsi="Times New Roman"/>
          <w:szCs w:val="24"/>
        </w:rPr>
        <w:t xml:space="preserve">, </w:t>
      </w:r>
      <w:r w:rsidR="00FA05FA">
        <w:rPr>
          <w:rFonts w:ascii="Times New Roman" w:hAnsi="Times New Roman"/>
          <w:szCs w:val="24"/>
        </w:rPr>
        <w:t xml:space="preserve">povrat namirenja poreza na dohodak u iznosu 99.374,28 €, </w:t>
      </w:r>
      <w:r w:rsidR="003D0997">
        <w:rPr>
          <w:rFonts w:ascii="Times New Roman" w:hAnsi="Times New Roman"/>
          <w:szCs w:val="24"/>
        </w:rPr>
        <w:t xml:space="preserve"> otplatu duga iz ranijih godina Ministarstvu poljoprivrede u iznosu 89.142,94 €, otplatu kredita Medicinske škole Bjelovar u iznosu od 1.248.000,00 €, otplatu kredita Zavoda za javno zdravstvo u iznosu od 40.000,00 € i Doma za starije osobe u iznosu od 17.253,56 €. </w:t>
      </w:r>
      <w:r w:rsidR="00801402">
        <w:rPr>
          <w:rFonts w:ascii="Times New Roman" w:hAnsi="Times New Roman"/>
          <w:szCs w:val="24"/>
        </w:rPr>
        <w:t>U nešto manjem iznosu škole su imale otplatu</w:t>
      </w:r>
      <w:r w:rsidR="003D0997">
        <w:rPr>
          <w:rFonts w:ascii="Times New Roman" w:hAnsi="Times New Roman"/>
          <w:szCs w:val="24"/>
        </w:rPr>
        <w:t xml:space="preserve"> leasinga za nabavu kombi vozila. </w:t>
      </w:r>
    </w:p>
    <w:p w14:paraId="563040A5" w14:textId="77777777" w:rsidR="00121D54" w:rsidRPr="00381750" w:rsidRDefault="00121D54" w:rsidP="0078277B">
      <w:pPr>
        <w:spacing w:line="276" w:lineRule="auto"/>
        <w:jc w:val="center"/>
        <w:rPr>
          <w:rFonts w:ascii="Times New Roman" w:hAnsi="Times New Roman"/>
          <w:b/>
          <w:sz w:val="22"/>
          <w:szCs w:val="22"/>
          <w:highlight w:val="yellow"/>
        </w:rPr>
      </w:pPr>
    </w:p>
    <w:p w14:paraId="142CE146" w14:textId="77777777" w:rsidR="00B60E46" w:rsidRPr="00801402" w:rsidRDefault="00614C14" w:rsidP="00A86484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 w:rsidRPr="00801402">
        <w:rPr>
          <w:rFonts w:ascii="Times New Roman" w:hAnsi="Times New Roman"/>
          <w:b/>
          <w:sz w:val="22"/>
          <w:szCs w:val="22"/>
        </w:rPr>
        <w:t>IZVJEŠTAJ RAČUNA FINANCIRANJA PREMA IZVORIMA FINANCIRANJA</w:t>
      </w:r>
    </w:p>
    <w:p w14:paraId="18CAE7B0" w14:textId="77777777" w:rsidR="00B60E46" w:rsidRPr="00381750" w:rsidRDefault="00B60E46" w:rsidP="008E34C6">
      <w:pPr>
        <w:spacing w:line="276" w:lineRule="auto"/>
        <w:ind w:firstLine="708"/>
        <w:jc w:val="both"/>
        <w:rPr>
          <w:rFonts w:ascii="Times New Roman" w:hAnsi="Times New Roman"/>
          <w:b/>
          <w:szCs w:val="24"/>
          <w:highlight w:val="yellow"/>
        </w:rPr>
      </w:pPr>
    </w:p>
    <w:p w14:paraId="66114B1A" w14:textId="608FC511" w:rsidR="00B60E46" w:rsidRPr="0080377B" w:rsidRDefault="00237EF0" w:rsidP="0080377B">
      <w:pPr>
        <w:spacing w:line="360" w:lineRule="auto"/>
        <w:jc w:val="both"/>
        <w:rPr>
          <w:rFonts w:ascii="Times New Roman" w:hAnsi="Times New Roman"/>
          <w:szCs w:val="24"/>
        </w:rPr>
      </w:pPr>
      <w:r w:rsidRPr="000C031D">
        <w:rPr>
          <w:rFonts w:ascii="Times New Roman" w:hAnsi="Times New Roman"/>
          <w:szCs w:val="24"/>
        </w:rPr>
        <w:tab/>
      </w:r>
      <w:r w:rsidR="00E47135" w:rsidRPr="000C031D">
        <w:rPr>
          <w:rFonts w:ascii="Times New Roman" w:hAnsi="Times New Roman"/>
          <w:szCs w:val="24"/>
        </w:rPr>
        <w:t xml:space="preserve">Primitak </w:t>
      </w:r>
      <w:r w:rsidR="000C031D" w:rsidRPr="000C031D">
        <w:rPr>
          <w:rFonts w:ascii="Times New Roman" w:hAnsi="Times New Roman"/>
          <w:szCs w:val="24"/>
        </w:rPr>
        <w:t>604.325,43</w:t>
      </w:r>
      <w:r w:rsidR="00E47135" w:rsidRPr="000C031D">
        <w:rPr>
          <w:rFonts w:ascii="Times New Roman" w:hAnsi="Times New Roman"/>
          <w:szCs w:val="24"/>
        </w:rPr>
        <w:t xml:space="preserve"> € obuhvaća primljene kredite i zajmove u obračunskom razdoblju.</w:t>
      </w:r>
      <w:r w:rsidR="0080377B">
        <w:rPr>
          <w:rFonts w:ascii="Times New Roman" w:hAnsi="Times New Roman"/>
          <w:szCs w:val="24"/>
        </w:rPr>
        <w:t xml:space="preserve"> </w:t>
      </w:r>
      <w:r w:rsidR="00E47135" w:rsidRPr="00BC73DA">
        <w:rPr>
          <w:rFonts w:ascii="Times New Roman" w:hAnsi="Times New Roman"/>
          <w:szCs w:val="24"/>
        </w:rPr>
        <w:t xml:space="preserve">Izdaci po izvorima u iznosu </w:t>
      </w:r>
      <w:r w:rsidR="000C031D" w:rsidRPr="00BC73DA">
        <w:rPr>
          <w:rFonts w:ascii="Times New Roman" w:hAnsi="Times New Roman"/>
          <w:szCs w:val="24"/>
        </w:rPr>
        <w:t>1.704.591,55</w:t>
      </w:r>
      <w:r w:rsidR="00BC73DA" w:rsidRPr="00BC73DA">
        <w:rPr>
          <w:rFonts w:ascii="Times New Roman" w:hAnsi="Times New Roman"/>
          <w:szCs w:val="24"/>
        </w:rPr>
        <w:t xml:space="preserve"> </w:t>
      </w:r>
      <w:r w:rsidR="00E47135" w:rsidRPr="00BC73DA">
        <w:rPr>
          <w:rFonts w:ascii="Times New Roman" w:hAnsi="Times New Roman"/>
          <w:szCs w:val="24"/>
        </w:rPr>
        <w:t xml:space="preserve">€ sadrže prikaz izvora iz kojih se podmiruju krediti. </w:t>
      </w:r>
    </w:p>
    <w:p w14:paraId="407B204D" w14:textId="77777777" w:rsidR="00D12AA0" w:rsidRPr="00381750" w:rsidRDefault="00D12AA0" w:rsidP="00BD4650">
      <w:pPr>
        <w:spacing w:line="360" w:lineRule="auto"/>
        <w:rPr>
          <w:rFonts w:ascii="Times New Roman" w:hAnsi="Times New Roman"/>
          <w:b/>
          <w:sz w:val="22"/>
          <w:szCs w:val="22"/>
          <w:highlight w:val="yellow"/>
        </w:rPr>
      </w:pPr>
    </w:p>
    <w:p w14:paraId="4E930D7A" w14:textId="77777777" w:rsidR="00B03FAF" w:rsidRPr="00BC73DA" w:rsidRDefault="00040C64" w:rsidP="00C021E3">
      <w:pPr>
        <w:spacing w:line="276" w:lineRule="auto"/>
        <w:ind w:firstLine="708"/>
        <w:jc w:val="both"/>
        <w:rPr>
          <w:rFonts w:ascii="Times New Roman" w:hAnsi="Times New Roman"/>
          <w:b/>
          <w:i/>
          <w:szCs w:val="24"/>
        </w:rPr>
      </w:pPr>
      <w:r w:rsidRPr="00BC73DA">
        <w:rPr>
          <w:rFonts w:ascii="Times New Roman" w:hAnsi="Times New Roman"/>
          <w:b/>
          <w:i/>
          <w:szCs w:val="24"/>
        </w:rPr>
        <w:t>Posebni dio Proračuna</w:t>
      </w:r>
    </w:p>
    <w:p w14:paraId="7A78E38C" w14:textId="77777777" w:rsidR="003A0F92" w:rsidRPr="00381750" w:rsidRDefault="003A0F92" w:rsidP="00CF44D5">
      <w:pPr>
        <w:spacing w:line="276" w:lineRule="auto"/>
        <w:ind w:firstLine="708"/>
        <w:jc w:val="center"/>
        <w:rPr>
          <w:rFonts w:ascii="Times New Roman" w:hAnsi="Times New Roman"/>
          <w:b/>
          <w:szCs w:val="24"/>
          <w:highlight w:val="yellow"/>
        </w:rPr>
      </w:pPr>
    </w:p>
    <w:p w14:paraId="0ABE7716" w14:textId="77777777" w:rsidR="00033263" w:rsidRPr="00BC73DA" w:rsidRDefault="00333EBC" w:rsidP="00AD2356">
      <w:pPr>
        <w:spacing w:line="360" w:lineRule="auto"/>
        <w:ind w:firstLine="708"/>
        <w:jc w:val="both"/>
        <w:rPr>
          <w:rFonts w:ascii="Times New Roman" w:hAnsi="Times New Roman"/>
          <w:szCs w:val="24"/>
        </w:rPr>
      </w:pPr>
      <w:r w:rsidRPr="00BC73DA">
        <w:rPr>
          <w:rFonts w:ascii="Times New Roman" w:hAnsi="Times New Roman"/>
          <w:szCs w:val="24"/>
        </w:rPr>
        <w:t>Organizacijska klasifikacija sadrži prikaz rashoda i izdataka proračuna iskazanih po organizacijskoj klasifikaciji.</w:t>
      </w:r>
    </w:p>
    <w:p w14:paraId="47EB38F8" w14:textId="77777777" w:rsidR="00C811F4" w:rsidRDefault="00C811F4" w:rsidP="00AD2356">
      <w:pPr>
        <w:spacing w:line="360" w:lineRule="auto"/>
        <w:ind w:firstLine="708"/>
        <w:jc w:val="both"/>
        <w:rPr>
          <w:rFonts w:ascii="Times New Roman" w:hAnsi="Times New Roman"/>
          <w:szCs w:val="24"/>
        </w:rPr>
      </w:pPr>
      <w:r w:rsidRPr="00BC73DA">
        <w:rPr>
          <w:rFonts w:ascii="Times New Roman" w:hAnsi="Times New Roman"/>
          <w:szCs w:val="24"/>
        </w:rPr>
        <w:t>Posebni dio Polugodišnjeg izvještaja o izvršenju Proračuna iskazan je po organizacijskoj i programskoj klasifikaciji. Izvještaj po programskoj klasifikaciji sadrži prikaz rashoda i izdataka proračuna iskazanih po organizacijskoj klasifikaciji, izvorima financiranja i ekonomskoj klasifikaciji raspoređenih u programe koji se sastoje od aktivnosti i projekata što je detaljno obrazloženo u obrazloženjima nadležnih upravnih odjela uz posebni dio proračuna.</w:t>
      </w:r>
    </w:p>
    <w:p w14:paraId="25F561DB" w14:textId="77777777" w:rsidR="00C5450A" w:rsidRPr="00C5450A" w:rsidRDefault="00C5450A" w:rsidP="00AD2356">
      <w:pPr>
        <w:spacing w:line="360" w:lineRule="auto"/>
        <w:ind w:firstLine="708"/>
        <w:jc w:val="both"/>
        <w:rPr>
          <w:rFonts w:ascii="Times New Roman" w:hAnsi="Times New Roman"/>
          <w:szCs w:val="24"/>
        </w:rPr>
      </w:pPr>
    </w:p>
    <w:p w14:paraId="51B7C747" w14:textId="77777777" w:rsidR="00D34A5E" w:rsidRDefault="00D34A5E" w:rsidP="000F0BB3">
      <w:pPr>
        <w:spacing w:line="276" w:lineRule="auto"/>
        <w:ind w:firstLine="708"/>
        <w:jc w:val="both"/>
        <w:rPr>
          <w:rFonts w:ascii="Times New Roman" w:hAnsi="Times New Roman"/>
          <w:b/>
          <w:i/>
          <w:szCs w:val="24"/>
        </w:rPr>
      </w:pPr>
      <w:bookmarkStart w:id="1" w:name="_Hlk145487144"/>
    </w:p>
    <w:bookmarkEnd w:id="1"/>
    <w:p w14:paraId="1264DBE4" w14:textId="77777777" w:rsidR="009357DA" w:rsidRDefault="009357DA" w:rsidP="00A0327A">
      <w:pPr>
        <w:tabs>
          <w:tab w:val="center" w:pos="6804"/>
        </w:tabs>
        <w:spacing w:line="276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39EE26BF" w14:textId="77777777" w:rsidR="00ED225B" w:rsidRDefault="00A0327A" w:rsidP="00A0327A">
      <w:pPr>
        <w:tabs>
          <w:tab w:val="center" w:pos="6804"/>
        </w:tabs>
        <w:spacing w:line="276" w:lineRule="auto"/>
        <w:ind w:firstLine="708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ab/>
      </w:r>
      <w:r w:rsidR="00ED225B">
        <w:rPr>
          <w:rFonts w:ascii="Times New Roman" w:hAnsi="Times New Roman"/>
          <w:b/>
          <w:szCs w:val="24"/>
        </w:rPr>
        <w:t>SLUŽBENICA KOJA PRIVREMENO</w:t>
      </w:r>
    </w:p>
    <w:p w14:paraId="3EA3FBF8" w14:textId="5D23E35D" w:rsidR="00EB0579" w:rsidRDefault="00ED225B" w:rsidP="00A0327A">
      <w:pPr>
        <w:tabs>
          <w:tab w:val="center" w:pos="6804"/>
        </w:tabs>
        <w:spacing w:line="276" w:lineRule="auto"/>
        <w:ind w:firstLine="708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ab/>
        <w:t>OBAVLJA DUŽNOST</w:t>
      </w:r>
      <w:r w:rsidR="00AB4EE9">
        <w:rPr>
          <w:rFonts w:ascii="Times New Roman" w:hAnsi="Times New Roman"/>
          <w:b/>
          <w:szCs w:val="24"/>
        </w:rPr>
        <w:t xml:space="preserve"> </w:t>
      </w:r>
      <w:r w:rsidR="00A0327A">
        <w:rPr>
          <w:rFonts w:ascii="Times New Roman" w:hAnsi="Times New Roman"/>
          <w:b/>
          <w:szCs w:val="24"/>
        </w:rPr>
        <w:t>PROČELNIC</w:t>
      </w:r>
      <w:r w:rsidR="00AB4EE9">
        <w:rPr>
          <w:rFonts w:ascii="Times New Roman" w:hAnsi="Times New Roman"/>
          <w:b/>
          <w:szCs w:val="24"/>
        </w:rPr>
        <w:t>E</w:t>
      </w:r>
    </w:p>
    <w:p w14:paraId="34063AE0" w14:textId="382A5DEC" w:rsidR="00A0327A" w:rsidRDefault="00A0327A" w:rsidP="00A0327A">
      <w:pPr>
        <w:tabs>
          <w:tab w:val="center" w:pos="6804"/>
        </w:tabs>
        <w:spacing w:line="276" w:lineRule="auto"/>
        <w:ind w:firstLine="708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ab/>
      </w:r>
      <w:r w:rsidR="00AB4EE9">
        <w:rPr>
          <w:rFonts w:ascii="Times New Roman" w:hAnsi="Times New Roman"/>
          <w:b/>
          <w:szCs w:val="24"/>
        </w:rPr>
        <w:t>Sanja Feher, mag.oec.</w:t>
      </w:r>
    </w:p>
    <w:p w14:paraId="33651D2B" w14:textId="2822CBEA" w:rsidR="00B60E46" w:rsidRPr="004E4519" w:rsidRDefault="00A0327A" w:rsidP="00ED225B">
      <w:pPr>
        <w:tabs>
          <w:tab w:val="center" w:pos="6804"/>
        </w:tabs>
        <w:spacing w:line="276" w:lineRule="auto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</w:p>
    <w:sectPr w:rsidR="00B60E46" w:rsidRPr="004E4519" w:rsidSect="0036617F">
      <w:headerReference w:type="even" r:id="rId11"/>
      <w:footerReference w:type="default" r:id="rId12"/>
      <w:footerReference w:type="first" r:id="rId13"/>
      <w:pgSz w:w="11907" w:h="16840" w:code="9"/>
      <w:pgMar w:top="1418" w:right="1134" w:bottom="142" w:left="1134" w:header="62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8FAB9" w14:textId="77777777" w:rsidR="00D97C57" w:rsidRDefault="00D97C57">
      <w:r>
        <w:separator/>
      </w:r>
    </w:p>
  </w:endnote>
  <w:endnote w:type="continuationSeparator" w:id="0">
    <w:p w14:paraId="4B3DF1E0" w14:textId="77777777" w:rsidR="00D97C57" w:rsidRDefault="00D97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RO_Century_Schoolbk-Normal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2"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DCA30" w14:textId="77777777" w:rsidR="00C85AD5" w:rsidRDefault="00C85AD5" w:rsidP="00267D8C">
    <w:pPr>
      <w:pStyle w:val="Footer"/>
    </w:pPr>
    <w:r w:rsidRPr="00A65000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5625D4C" wp14:editId="29A1CDCE">
              <wp:simplePos x="0" y="0"/>
              <wp:positionH relativeFrom="column">
                <wp:posOffset>-720090</wp:posOffset>
              </wp:positionH>
              <wp:positionV relativeFrom="paragraph">
                <wp:posOffset>229606</wp:posOffset>
              </wp:positionV>
              <wp:extent cx="7524750" cy="2762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4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9DF71D" w14:textId="77777777" w:rsidR="00C85AD5" w:rsidRPr="00A65000" w:rsidRDefault="00D97C57" w:rsidP="00267D8C">
                          <w:pPr>
                            <w:pStyle w:val="Footer"/>
                            <w:jc w:val="center"/>
                            <w:rPr>
                              <w:color w:val="808080" w:themeColor="background1" w:themeShade="80"/>
                              <w:sz w:val="20"/>
                            </w:rPr>
                          </w:pPr>
                          <w:hyperlink r:id="rId1" w:history="1">
                            <w:r w:rsidR="00C85AD5" w:rsidRPr="00A65000">
                              <w:rPr>
                                <w:rStyle w:val="Hyperlink"/>
                                <w:color w:val="808080" w:themeColor="background1" w:themeShade="80"/>
                                <w:sz w:val="20"/>
                                <w:u w:val="none"/>
                              </w:rPr>
                              <w:t>Bjelovarsko-bilogorska</w:t>
                            </w:r>
                          </w:hyperlink>
                          <w:r w:rsidR="00C85AD5" w:rsidRP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 županija, Dr. Ante Starčevića 8, Bjelovar</w:t>
                          </w:r>
                          <w:r w:rsidR="00C85AD5">
                            <w:rPr>
                              <w:color w:val="808080" w:themeColor="background1" w:themeShade="80"/>
                              <w:sz w:val="20"/>
                            </w:rPr>
                            <w:t>,</w:t>
                          </w:r>
                          <w:r w:rsidR="00C85AD5" w:rsidRP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 www.bbz.hr</w:t>
                          </w:r>
                        </w:p>
                        <w:p w14:paraId="3C1E10BE" w14:textId="77777777" w:rsidR="00C85AD5" w:rsidRDefault="00C85AD5" w:rsidP="00267D8C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625D4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6.7pt;margin-top:18.1pt;width:592.5pt;height:21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" stroked="f">
              <v:textbox>
                <w:txbxContent>
                  <w:p w14:paraId="799DF71D" w14:textId="77777777" w:rsidR="00C85AD5" w:rsidRPr="00A65000" w:rsidRDefault="00A950AB" w:rsidP="00267D8C">
                    <w:pPr>
                      <w:pStyle w:val="Podnoje"/>
                      <w:jc w:val="center"/>
                      <w:rPr>
                        <w:color w:val="808080" w:themeColor="background1" w:themeShade="80"/>
                        <w:sz w:val="20"/>
                      </w:rPr>
                    </w:pPr>
                    <w:hyperlink r:id="rId2" w:history="1">
                      <w:r w:rsidR="00C85AD5" w:rsidRPr="00A65000">
                        <w:rPr>
                          <w:rStyle w:val="Hiperveza"/>
                          <w:color w:val="808080" w:themeColor="background1" w:themeShade="80"/>
                          <w:sz w:val="20"/>
                          <w:u w:val="none"/>
                        </w:rPr>
                        <w:t>Bjelovarsko-bilogorska</w:t>
                      </w:r>
                    </w:hyperlink>
                    <w:r w:rsidR="00C85AD5" w:rsidRPr="00A65000">
                      <w:rPr>
                        <w:color w:val="808080" w:themeColor="background1" w:themeShade="80"/>
                        <w:sz w:val="20"/>
                      </w:rPr>
                      <w:t xml:space="preserve"> županija, Dr. Ante Starčevića 8, Bjelovar</w:t>
                    </w:r>
                    <w:r w:rsidR="00C85AD5">
                      <w:rPr>
                        <w:color w:val="808080" w:themeColor="background1" w:themeShade="80"/>
                        <w:sz w:val="20"/>
                      </w:rPr>
                      <w:t>,</w:t>
                    </w:r>
                    <w:r w:rsidR="00C85AD5" w:rsidRPr="00A65000">
                      <w:rPr>
                        <w:color w:val="808080" w:themeColor="background1" w:themeShade="80"/>
                        <w:sz w:val="20"/>
                      </w:rPr>
                      <w:t xml:space="preserve"> www.bbz.hr</w:t>
                    </w:r>
                  </w:p>
                  <w:p w14:paraId="3C1E10BE" w14:textId="77777777" w:rsidR="00C85AD5" w:rsidRDefault="00C85AD5" w:rsidP="00267D8C"/>
                </w:txbxContent>
              </v:textbox>
            </v:shape>
          </w:pict>
        </mc:Fallback>
      </mc:AlternateContent>
    </w:r>
  </w:p>
  <w:p w14:paraId="5DA25812" w14:textId="77777777" w:rsidR="00C85AD5" w:rsidRDefault="00C85AD5" w:rsidP="00267D8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F611D38" wp14:editId="0BAACED4">
              <wp:simplePos x="0" y="0"/>
              <wp:positionH relativeFrom="margin">
                <wp:posOffset>168275</wp:posOffset>
              </wp:positionH>
              <wp:positionV relativeFrom="margin">
                <wp:posOffset>8872855</wp:posOffset>
              </wp:positionV>
              <wp:extent cx="5759450" cy="0"/>
              <wp:effectExtent l="0" t="0" r="3175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594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D8FF8FE" id="Straight Connector 3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13.25pt,698.65pt" to="466.75pt,69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" strokecolor="black [3040]">
              <w10:wrap anchorx="margin" anchory="margin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1" allowOverlap="1" wp14:anchorId="32CD5A8E" wp14:editId="0B17D4A1">
          <wp:simplePos x="0" y="0"/>
          <wp:positionH relativeFrom="margin">
            <wp:posOffset>2674620</wp:posOffset>
          </wp:positionH>
          <wp:positionV relativeFrom="margin">
            <wp:posOffset>9065813</wp:posOffset>
          </wp:positionV>
          <wp:extent cx="971550" cy="537845"/>
          <wp:effectExtent l="0" t="0" r="0" b="0"/>
          <wp:wrapNone/>
          <wp:docPr id="1" name="Picture 7" descr="C:\Users\User\AppData\Local\Temp\Rar$DRa0.303\CroCert-IQNet-9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er\AppData\Local\Temp\Rar$DRa0.303\CroCert-IQNet-9001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199311" w14:textId="77777777" w:rsidR="00C85AD5" w:rsidRDefault="00C85AD5" w:rsidP="00267D8C">
    <w:pPr>
      <w:pStyle w:val="Footer"/>
    </w:pPr>
    <w:r>
      <w:ptab w:relativeTo="margin" w:alignment="right" w:leader="none"/>
    </w:r>
  </w:p>
  <w:p w14:paraId="482BB590" w14:textId="77777777" w:rsidR="00C85AD5" w:rsidRDefault="00C85A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9013E" w14:textId="77777777" w:rsidR="00C85AD5" w:rsidRDefault="00C85AD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C44CC34" wp14:editId="665AA4B4">
              <wp:simplePos x="0" y="0"/>
              <wp:positionH relativeFrom="column">
                <wp:posOffset>-715010</wp:posOffset>
              </wp:positionH>
              <wp:positionV relativeFrom="paragraph">
                <wp:posOffset>316312</wp:posOffset>
              </wp:positionV>
              <wp:extent cx="7550590" cy="0"/>
              <wp:effectExtent l="0" t="0" r="31750" b="1905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5059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ACDC774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6.3pt,24.9pt" to="538.2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" strokecolor="black [3040]"/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3E6D87F9" wp14:editId="0B063B98">
          <wp:simplePos x="0" y="0"/>
          <wp:positionH relativeFrom="margin">
            <wp:posOffset>2678430</wp:posOffset>
          </wp:positionH>
          <wp:positionV relativeFrom="margin">
            <wp:posOffset>9062720</wp:posOffset>
          </wp:positionV>
          <wp:extent cx="971550" cy="537845"/>
          <wp:effectExtent l="0" t="0" r="0" b="0"/>
          <wp:wrapNone/>
          <wp:docPr id="4" name="Picture 1" descr="C:\Users\User\AppData\Local\Temp\Rar$DRa0.303\CroCert-IQNet-9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er\AppData\Local\Temp\Rar$DRa0.303\CroCert-IQNet-90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65000"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928EB6C" wp14:editId="01DC405E">
              <wp:simplePos x="0" y="0"/>
              <wp:positionH relativeFrom="column">
                <wp:posOffset>-720090</wp:posOffset>
              </wp:positionH>
              <wp:positionV relativeFrom="paragraph">
                <wp:posOffset>317500</wp:posOffset>
              </wp:positionV>
              <wp:extent cx="7524750" cy="276225"/>
              <wp:effectExtent l="0" t="0" r="0" b="952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4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7981F0" w14:textId="77777777" w:rsidR="00C85AD5" w:rsidRPr="00A65000" w:rsidRDefault="00D97C57" w:rsidP="00A65000">
                          <w:pPr>
                            <w:pStyle w:val="Footer"/>
                            <w:jc w:val="center"/>
                            <w:rPr>
                              <w:color w:val="808080" w:themeColor="background1" w:themeShade="80"/>
                              <w:sz w:val="20"/>
                            </w:rPr>
                          </w:pPr>
                          <w:hyperlink r:id="rId2" w:history="1">
                            <w:r w:rsidR="00C85AD5" w:rsidRPr="00A65000">
                              <w:rPr>
                                <w:rStyle w:val="Hyperlink"/>
                                <w:color w:val="808080" w:themeColor="background1" w:themeShade="80"/>
                                <w:sz w:val="20"/>
                                <w:u w:val="none"/>
                              </w:rPr>
                              <w:t>Bjelovarsko-bilogorska</w:t>
                            </w:r>
                          </w:hyperlink>
                          <w:r w:rsidR="00C85AD5" w:rsidRP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 županija, Dr. Ante Starčevića 8, Bjelovar</w:t>
                          </w:r>
                          <w:r w:rsidR="00C85AD5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,   </w:t>
                          </w:r>
                          <w:r w:rsidR="00C85AD5" w:rsidRP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 www.bbz.hr</w:t>
                          </w:r>
                        </w:p>
                        <w:p w14:paraId="5D7ABA9D" w14:textId="77777777" w:rsidR="00C85AD5" w:rsidRDefault="00C85AD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28EB6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56.7pt;margin-top:25pt;width:592.5pt;height:21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" stroked="f">
              <v:textbox>
                <w:txbxContent>
                  <w:p w14:paraId="717981F0" w14:textId="77777777" w:rsidR="00C85AD5" w:rsidRPr="00A65000" w:rsidRDefault="00A950AB" w:rsidP="00A65000">
                    <w:pPr>
                      <w:pStyle w:val="Podnoje"/>
                      <w:jc w:val="center"/>
                      <w:rPr>
                        <w:color w:val="808080" w:themeColor="background1" w:themeShade="80"/>
                        <w:sz w:val="20"/>
                      </w:rPr>
                    </w:pPr>
                    <w:hyperlink r:id="rId3" w:history="1">
                      <w:r w:rsidR="00C85AD5" w:rsidRPr="00A65000">
                        <w:rPr>
                          <w:rStyle w:val="Hiperveza"/>
                          <w:color w:val="808080" w:themeColor="background1" w:themeShade="80"/>
                          <w:sz w:val="20"/>
                          <w:u w:val="none"/>
                        </w:rPr>
                        <w:t>Bjelovarsko-bilogorska</w:t>
                      </w:r>
                    </w:hyperlink>
                    <w:r w:rsidR="00C85AD5" w:rsidRPr="00A65000">
                      <w:rPr>
                        <w:color w:val="808080" w:themeColor="background1" w:themeShade="80"/>
                        <w:sz w:val="20"/>
                      </w:rPr>
                      <w:t xml:space="preserve"> županija, Dr. Ante Starčevića 8, Bjelovar</w:t>
                    </w:r>
                    <w:r w:rsidR="00C85AD5">
                      <w:rPr>
                        <w:color w:val="808080" w:themeColor="background1" w:themeShade="80"/>
                        <w:sz w:val="20"/>
                      </w:rPr>
                      <w:t xml:space="preserve">,   </w:t>
                    </w:r>
                    <w:r w:rsidR="00C85AD5" w:rsidRPr="00A65000">
                      <w:rPr>
                        <w:color w:val="808080" w:themeColor="background1" w:themeShade="80"/>
                        <w:sz w:val="20"/>
                      </w:rPr>
                      <w:t xml:space="preserve"> www.bbz.hr</w:t>
                    </w:r>
                  </w:p>
                  <w:p w14:paraId="5D7ABA9D" w14:textId="77777777" w:rsidR="00C85AD5" w:rsidRDefault="00C85AD5"/>
                </w:txbxContent>
              </v:textbox>
              <w10:wrap type="square"/>
            </v:shape>
          </w:pict>
        </mc:Fallback>
      </mc:AlternateContent>
    </w:r>
  </w:p>
  <w:p w14:paraId="19314D37" w14:textId="77777777" w:rsidR="00C85AD5" w:rsidRDefault="00C85AD5">
    <w:pPr>
      <w:pStyle w:val="Footer"/>
    </w:pP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CE2CA" w14:textId="77777777" w:rsidR="00D97C57" w:rsidRDefault="00D97C57">
      <w:r>
        <w:separator/>
      </w:r>
    </w:p>
  </w:footnote>
  <w:footnote w:type="continuationSeparator" w:id="0">
    <w:p w14:paraId="11584A96" w14:textId="77777777" w:rsidR="00D97C57" w:rsidRDefault="00D97C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4D219" w14:textId="77777777" w:rsidR="00C85AD5" w:rsidRDefault="00C85AD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23CFFB1" w14:textId="77777777" w:rsidR="00C85AD5" w:rsidRDefault="00C85A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D5EFC"/>
    <w:multiLevelType w:val="hybridMultilevel"/>
    <w:tmpl w:val="2732038C"/>
    <w:lvl w:ilvl="0" w:tplc="4B8A6FC4">
      <w:start w:val="10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03A740C8"/>
    <w:multiLevelType w:val="hybridMultilevel"/>
    <w:tmpl w:val="ACEC6978"/>
    <w:lvl w:ilvl="0" w:tplc="1EA2B5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961FC8"/>
    <w:multiLevelType w:val="hybridMultilevel"/>
    <w:tmpl w:val="4580BFE4"/>
    <w:lvl w:ilvl="0" w:tplc="749862B6">
      <w:start w:val="1"/>
      <w:numFmt w:val="decimal"/>
      <w:lvlText w:val="%1."/>
      <w:lvlJc w:val="left"/>
      <w:pPr>
        <w:ind w:left="69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665" w:hanging="360"/>
      </w:pPr>
    </w:lvl>
    <w:lvl w:ilvl="2" w:tplc="041A001B" w:tentative="1">
      <w:start w:val="1"/>
      <w:numFmt w:val="lowerRoman"/>
      <w:lvlText w:val="%3."/>
      <w:lvlJc w:val="right"/>
      <w:pPr>
        <w:ind w:left="8385" w:hanging="180"/>
      </w:pPr>
    </w:lvl>
    <w:lvl w:ilvl="3" w:tplc="041A000F" w:tentative="1">
      <w:start w:val="1"/>
      <w:numFmt w:val="decimal"/>
      <w:lvlText w:val="%4."/>
      <w:lvlJc w:val="left"/>
      <w:pPr>
        <w:ind w:left="9105" w:hanging="360"/>
      </w:pPr>
    </w:lvl>
    <w:lvl w:ilvl="4" w:tplc="041A0019" w:tentative="1">
      <w:start w:val="1"/>
      <w:numFmt w:val="lowerLetter"/>
      <w:lvlText w:val="%5."/>
      <w:lvlJc w:val="left"/>
      <w:pPr>
        <w:ind w:left="9825" w:hanging="360"/>
      </w:pPr>
    </w:lvl>
    <w:lvl w:ilvl="5" w:tplc="041A001B" w:tentative="1">
      <w:start w:val="1"/>
      <w:numFmt w:val="lowerRoman"/>
      <w:lvlText w:val="%6."/>
      <w:lvlJc w:val="right"/>
      <w:pPr>
        <w:ind w:left="10545" w:hanging="180"/>
      </w:pPr>
    </w:lvl>
    <w:lvl w:ilvl="6" w:tplc="041A000F" w:tentative="1">
      <w:start w:val="1"/>
      <w:numFmt w:val="decimal"/>
      <w:lvlText w:val="%7."/>
      <w:lvlJc w:val="left"/>
      <w:pPr>
        <w:ind w:left="11265" w:hanging="360"/>
      </w:pPr>
    </w:lvl>
    <w:lvl w:ilvl="7" w:tplc="041A0019" w:tentative="1">
      <w:start w:val="1"/>
      <w:numFmt w:val="lowerLetter"/>
      <w:lvlText w:val="%8."/>
      <w:lvlJc w:val="left"/>
      <w:pPr>
        <w:ind w:left="11985" w:hanging="360"/>
      </w:pPr>
    </w:lvl>
    <w:lvl w:ilvl="8" w:tplc="041A001B" w:tentative="1">
      <w:start w:val="1"/>
      <w:numFmt w:val="lowerRoman"/>
      <w:lvlText w:val="%9."/>
      <w:lvlJc w:val="right"/>
      <w:pPr>
        <w:ind w:left="12705" w:hanging="180"/>
      </w:pPr>
    </w:lvl>
  </w:abstractNum>
  <w:abstractNum w:abstractNumId="3" w15:restartNumberingAfterBreak="0">
    <w:nsid w:val="0BA61212"/>
    <w:multiLevelType w:val="hybridMultilevel"/>
    <w:tmpl w:val="15DE6644"/>
    <w:lvl w:ilvl="0" w:tplc="93BAD53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EF67618"/>
    <w:multiLevelType w:val="hybridMultilevel"/>
    <w:tmpl w:val="5DC84082"/>
    <w:lvl w:ilvl="0" w:tplc="319691D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87579"/>
    <w:multiLevelType w:val="hybridMultilevel"/>
    <w:tmpl w:val="B1DE39AA"/>
    <w:lvl w:ilvl="0" w:tplc="F1BAFC40">
      <w:numFmt w:val="bullet"/>
      <w:lvlText w:val="-"/>
      <w:lvlJc w:val="left"/>
      <w:pPr>
        <w:ind w:left="1140" w:hanging="360"/>
      </w:pPr>
      <w:rPr>
        <w:rFonts w:ascii="CRO_Century_Schoolbk-Normal" w:eastAsia="Times New Roman" w:hAnsi="CRO_Century_Schoolbk-Norma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3B8A5D75"/>
    <w:multiLevelType w:val="hybridMultilevel"/>
    <w:tmpl w:val="BA3038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23F15"/>
    <w:multiLevelType w:val="hybridMultilevel"/>
    <w:tmpl w:val="D3F85D66"/>
    <w:lvl w:ilvl="0" w:tplc="041A000F">
      <w:start w:val="1"/>
      <w:numFmt w:val="decimal"/>
      <w:lvlText w:val="%1."/>
      <w:lvlJc w:val="left"/>
      <w:pPr>
        <w:ind w:left="928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138B3"/>
    <w:multiLevelType w:val="hybridMultilevel"/>
    <w:tmpl w:val="B5C48E74"/>
    <w:lvl w:ilvl="0" w:tplc="3A6492F8">
      <w:start w:val="10"/>
      <w:numFmt w:val="bullet"/>
      <w:lvlText w:val="-"/>
      <w:lvlJc w:val="left"/>
      <w:pPr>
        <w:ind w:left="163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9" w15:restartNumberingAfterBreak="0">
    <w:nsid w:val="47B35979"/>
    <w:multiLevelType w:val="hybridMultilevel"/>
    <w:tmpl w:val="1A7C57AA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E70D7D"/>
    <w:multiLevelType w:val="hybridMultilevel"/>
    <w:tmpl w:val="195057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6D6F32"/>
    <w:multiLevelType w:val="hybridMultilevel"/>
    <w:tmpl w:val="F7260904"/>
    <w:lvl w:ilvl="0" w:tplc="93BAD53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645B1E"/>
    <w:multiLevelType w:val="hybridMultilevel"/>
    <w:tmpl w:val="82BCCEE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0073E"/>
    <w:multiLevelType w:val="hybridMultilevel"/>
    <w:tmpl w:val="83B8B5C0"/>
    <w:lvl w:ilvl="0" w:tplc="CD3E6C12">
      <w:start w:val="1"/>
      <w:numFmt w:val="upperLetter"/>
      <w:lvlText w:val="%1."/>
      <w:lvlJc w:val="left"/>
      <w:pPr>
        <w:ind w:left="802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8745" w:hanging="360"/>
      </w:pPr>
    </w:lvl>
    <w:lvl w:ilvl="2" w:tplc="041A001B" w:tentative="1">
      <w:start w:val="1"/>
      <w:numFmt w:val="lowerRoman"/>
      <w:lvlText w:val="%3."/>
      <w:lvlJc w:val="right"/>
      <w:pPr>
        <w:ind w:left="9465" w:hanging="180"/>
      </w:pPr>
    </w:lvl>
    <w:lvl w:ilvl="3" w:tplc="041A000F" w:tentative="1">
      <w:start w:val="1"/>
      <w:numFmt w:val="decimal"/>
      <w:lvlText w:val="%4."/>
      <w:lvlJc w:val="left"/>
      <w:pPr>
        <w:ind w:left="10185" w:hanging="360"/>
      </w:pPr>
    </w:lvl>
    <w:lvl w:ilvl="4" w:tplc="041A0019" w:tentative="1">
      <w:start w:val="1"/>
      <w:numFmt w:val="lowerLetter"/>
      <w:lvlText w:val="%5."/>
      <w:lvlJc w:val="left"/>
      <w:pPr>
        <w:ind w:left="10905" w:hanging="360"/>
      </w:pPr>
    </w:lvl>
    <w:lvl w:ilvl="5" w:tplc="041A001B" w:tentative="1">
      <w:start w:val="1"/>
      <w:numFmt w:val="lowerRoman"/>
      <w:lvlText w:val="%6."/>
      <w:lvlJc w:val="right"/>
      <w:pPr>
        <w:ind w:left="11625" w:hanging="180"/>
      </w:pPr>
    </w:lvl>
    <w:lvl w:ilvl="6" w:tplc="041A000F" w:tentative="1">
      <w:start w:val="1"/>
      <w:numFmt w:val="decimal"/>
      <w:lvlText w:val="%7."/>
      <w:lvlJc w:val="left"/>
      <w:pPr>
        <w:ind w:left="12345" w:hanging="360"/>
      </w:pPr>
    </w:lvl>
    <w:lvl w:ilvl="7" w:tplc="041A0019" w:tentative="1">
      <w:start w:val="1"/>
      <w:numFmt w:val="lowerLetter"/>
      <w:lvlText w:val="%8."/>
      <w:lvlJc w:val="left"/>
      <w:pPr>
        <w:ind w:left="13065" w:hanging="360"/>
      </w:pPr>
    </w:lvl>
    <w:lvl w:ilvl="8" w:tplc="041A001B" w:tentative="1">
      <w:start w:val="1"/>
      <w:numFmt w:val="lowerRoman"/>
      <w:lvlText w:val="%9."/>
      <w:lvlJc w:val="right"/>
      <w:pPr>
        <w:ind w:left="13785" w:hanging="180"/>
      </w:pPr>
    </w:lvl>
  </w:abstractNum>
  <w:abstractNum w:abstractNumId="14" w15:restartNumberingAfterBreak="0">
    <w:nsid w:val="4F931228"/>
    <w:multiLevelType w:val="hybridMultilevel"/>
    <w:tmpl w:val="467A318A"/>
    <w:lvl w:ilvl="0" w:tplc="F41C5786">
      <w:start w:val="1"/>
      <w:numFmt w:val="upperLetter"/>
      <w:lvlText w:val="%1."/>
      <w:lvlJc w:val="left"/>
      <w:pPr>
        <w:ind w:left="7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740" w:hanging="360"/>
      </w:pPr>
    </w:lvl>
    <w:lvl w:ilvl="2" w:tplc="041A001B" w:tentative="1">
      <w:start w:val="1"/>
      <w:numFmt w:val="lowerRoman"/>
      <w:lvlText w:val="%3."/>
      <w:lvlJc w:val="right"/>
      <w:pPr>
        <w:ind w:left="8460" w:hanging="180"/>
      </w:pPr>
    </w:lvl>
    <w:lvl w:ilvl="3" w:tplc="041A000F" w:tentative="1">
      <w:start w:val="1"/>
      <w:numFmt w:val="decimal"/>
      <w:lvlText w:val="%4."/>
      <w:lvlJc w:val="left"/>
      <w:pPr>
        <w:ind w:left="9180" w:hanging="360"/>
      </w:pPr>
    </w:lvl>
    <w:lvl w:ilvl="4" w:tplc="041A0019" w:tentative="1">
      <w:start w:val="1"/>
      <w:numFmt w:val="lowerLetter"/>
      <w:lvlText w:val="%5."/>
      <w:lvlJc w:val="left"/>
      <w:pPr>
        <w:ind w:left="9900" w:hanging="360"/>
      </w:pPr>
    </w:lvl>
    <w:lvl w:ilvl="5" w:tplc="041A001B" w:tentative="1">
      <w:start w:val="1"/>
      <w:numFmt w:val="lowerRoman"/>
      <w:lvlText w:val="%6."/>
      <w:lvlJc w:val="right"/>
      <w:pPr>
        <w:ind w:left="10620" w:hanging="180"/>
      </w:pPr>
    </w:lvl>
    <w:lvl w:ilvl="6" w:tplc="041A000F" w:tentative="1">
      <w:start w:val="1"/>
      <w:numFmt w:val="decimal"/>
      <w:lvlText w:val="%7."/>
      <w:lvlJc w:val="left"/>
      <w:pPr>
        <w:ind w:left="11340" w:hanging="360"/>
      </w:pPr>
    </w:lvl>
    <w:lvl w:ilvl="7" w:tplc="041A0019" w:tentative="1">
      <w:start w:val="1"/>
      <w:numFmt w:val="lowerLetter"/>
      <w:lvlText w:val="%8."/>
      <w:lvlJc w:val="left"/>
      <w:pPr>
        <w:ind w:left="12060" w:hanging="360"/>
      </w:pPr>
    </w:lvl>
    <w:lvl w:ilvl="8" w:tplc="041A001B" w:tentative="1">
      <w:start w:val="1"/>
      <w:numFmt w:val="lowerRoman"/>
      <w:lvlText w:val="%9."/>
      <w:lvlJc w:val="right"/>
      <w:pPr>
        <w:ind w:left="12780" w:hanging="180"/>
      </w:pPr>
    </w:lvl>
  </w:abstractNum>
  <w:abstractNum w:abstractNumId="15" w15:restartNumberingAfterBreak="0">
    <w:nsid w:val="50685F1B"/>
    <w:multiLevelType w:val="hybridMultilevel"/>
    <w:tmpl w:val="3F6A24CC"/>
    <w:lvl w:ilvl="0" w:tplc="32E4D8B6">
      <w:start w:val="1"/>
      <w:numFmt w:val="decimal"/>
      <w:lvlText w:val="%1."/>
      <w:lvlJc w:val="left"/>
      <w:pPr>
        <w:ind w:left="63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020" w:hanging="360"/>
      </w:pPr>
    </w:lvl>
    <w:lvl w:ilvl="2" w:tplc="041A001B" w:tentative="1">
      <w:start w:val="1"/>
      <w:numFmt w:val="lowerRoman"/>
      <w:lvlText w:val="%3."/>
      <w:lvlJc w:val="right"/>
      <w:pPr>
        <w:ind w:left="7740" w:hanging="180"/>
      </w:pPr>
    </w:lvl>
    <w:lvl w:ilvl="3" w:tplc="041A000F" w:tentative="1">
      <w:start w:val="1"/>
      <w:numFmt w:val="decimal"/>
      <w:lvlText w:val="%4."/>
      <w:lvlJc w:val="left"/>
      <w:pPr>
        <w:ind w:left="8460" w:hanging="360"/>
      </w:pPr>
    </w:lvl>
    <w:lvl w:ilvl="4" w:tplc="041A0019" w:tentative="1">
      <w:start w:val="1"/>
      <w:numFmt w:val="lowerLetter"/>
      <w:lvlText w:val="%5."/>
      <w:lvlJc w:val="left"/>
      <w:pPr>
        <w:ind w:left="9180" w:hanging="360"/>
      </w:pPr>
    </w:lvl>
    <w:lvl w:ilvl="5" w:tplc="041A001B" w:tentative="1">
      <w:start w:val="1"/>
      <w:numFmt w:val="lowerRoman"/>
      <w:lvlText w:val="%6."/>
      <w:lvlJc w:val="right"/>
      <w:pPr>
        <w:ind w:left="9900" w:hanging="180"/>
      </w:pPr>
    </w:lvl>
    <w:lvl w:ilvl="6" w:tplc="041A000F" w:tentative="1">
      <w:start w:val="1"/>
      <w:numFmt w:val="decimal"/>
      <w:lvlText w:val="%7."/>
      <w:lvlJc w:val="left"/>
      <w:pPr>
        <w:ind w:left="10620" w:hanging="360"/>
      </w:pPr>
    </w:lvl>
    <w:lvl w:ilvl="7" w:tplc="041A0019" w:tentative="1">
      <w:start w:val="1"/>
      <w:numFmt w:val="lowerLetter"/>
      <w:lvlText w:val="%8."/>
      <w:lvlJc w:val="left"/>
      <w:pPr>
        <w:ind w:left="11340" w:hanging="360"/>
      </w:pPr>
    </w:lvl>
    <w:lvl w:ilvl="8" w:tplc="041A001B" w:tentative="1">
      <w:start w:val="1"/>
      <w:numFmt w:val="lowerRoman"/>
      <w:lvlText w:val="%9."/>
      <w:lvlJc w:val="right"/>
      <w:pPr>
        <w:ind w:left="12060" w:hanging="180"/>
      </w:pPr>
    </w:lvl>
  </w:abstractNum>
  <w:abstractNum w:abstractNumId="16" w15:restartNumberingAfterBreak="0">
    <w:nsid w:val="5CCD75BA"/>
    <w:multiLevelType w:val="hybridMultilevel"/>
    <w:tmpl w:val="5A5839EE"/>
    <w:lvl w:ilvl="0" w:tplc="47DACAF2">
      <w:start w:val="43"/>
      <w:numFmt w:val="bullet"/>
      <w:lvlText w:val="-"/>
      <w:lvlJc w:val="left"/>
      <w:pPr>
        <w:ind w:left="16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7" w15:restartNumberingAfterBreak="0">
    <w:nsid w:val="5DD035E0"/>
    <w:multiLevelType w:val="hybridMultilevel"/>
    <w:tmpl w:val="051C5254"/>
    <w:lvl w:ilvl="0" w:tplc="6450CA94">
      <w:start w:val="1"/>
      <w:numFmt w:val="upperLetter"/>
      <w:lvlText w:val="%1."/>
      <w:lvlJc w:val="left"/>
      <w:pPr>
        <w:ind w:left="781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8535" w:hanging="360"/>
      </w:pPr>
    </w:lvl>
    <w:lvl w:ilvl="2" w:tplc="041A001B" w:tentative="1">
      <w:start w:val="1"/>
      <w:numFmt w:val="lowerRoman"/>
      <w:lvlText w:val="%3."/>
      <w:lvlJc w:val="right"/>
      <w:pPr>
        <w:ind w:left="9255" w:hanging="180"/>
      </w:pPr>
    </w:lvl>
    <w:lvl w:ilvl="3" w:tplc="041A000F" w:tentative="1">
      <w:start w:val="1"/>
      <w:numFmt w:val="decimal"/>
      <w:lvlText w:val="%4."/>
      <w:lvlJc w:val="left"/>
      <w:pPr>
        <w:ind w:left="9975" w:hanging="360"/>
      </w:pPr>
    </w:lvl>
    <w:lvl w:ilvl="4" w:tplc="041A0019" w:tentative="1">
      <w:start w:val="1"/>
      <w:numFmt w:val="lowerLetter"/>
      <w:lvlText w:val="%5."/>
      <w:lvlJc w:val="left"/>
      <w:pPr>
        <w:ind w:left="10695" w:hanging="360"/>
      </w:pPr>
    </w:lvl>
    <w:lvl w:ilvl="5" w:tplc="041A001B" w:tentative="1">
      <w:start w:val="1"/>
      <w:numFmt w:val="lowerRoman"/>
      <w:lvlText w:val="%6."/>
      <w:lvlJc w:val="right"/>
      <w:pPr>
        <w:ind w:left="11415" w:hanging="180"/>
      </w:pPr>
    </w:lvl>
    <w:lvl w:ilvl="6" w:tplc="041A000F" w:tentative="1">
      <w:start w:val="1"/>
      <w:numFmt w:val="decimal"/>
      <w:lvlText w:val="%7."/>
      <w:lvlJc w:val="left"/>
      <w:pPr>
        <w:ind w:left="12135" w:hanging="360"/>
      </w:pPr>
    </w:lvl>
    <w:lvl w:ilvl="7" w:tplc="041A0019" w:tentative="1">
      <w:start w:val="1"/>
      <w:numFmt w:val="lowerLetter"/>
      <w:lvlText w:val="%8."/>
      <w:lvlJc w:val="left"/>
      <w:pPr>
        <w:ind w:left="12855" w:hanging="360"/>
      </w:pPr>
    </w:lvl>
    <w:lvl w:ilvl="8" w:tplc="041A001B" w:tentative="1">
      <w:start w:val="1"/>
      <w:numFmt w:val="lowerRoman"/>
      <w:lvlText w:val="%9."/>
      <w:lvlJc w:val="right"/>
      <w:pPr>
        <w:ind w:left="13575" w:hanging="180"/>
      </w:pPr>
    </w:lvl>
  </w:abstractNum>
  <w:abstractNum w:abstractNumId="18" w15:restartNumberingAfterBreak="0">
    <w:nsid w:val="61473080"/>
    <w:multiLevelType w:val="hybridMultilevel"/>
    <w:tmpl w:val="89841A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F81E94"/>
    <w:multiLevelType w:val="hybridMultilevel"/>
    <w:tmpl w:val="002608B2"/>
    <w:lvl w:ilvl="0" w:tplc="F0B29170">
      <w:start w:val="43"/>
      <w:numFmt w:val="bullet"/>
      <w:lvlText w:val="-"/>
      <w:lvlJc w:val="left"/>
      <w:pPr>
        <w:ind w:left="160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20" w15:restartNumberingAfterBreak="0">
    <w:nsid w:val="685D1043"/>
    <w:multiLevelType w:val="hybridMultilevel"/>
    <w:tmpl w:val="66207232"/>
    <w:lvl w:ilvl="0" w:tplc="26061D1E">
      <w:start w:val="43"/>
      <w:numFmt w:val="bullet"/>
      <w:lvlText w:val="-"/>
      <w:lvlJc w:val="left"/>
      <w:pPr>
        <w:ind w:left="163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1" w15:restartNumberingAfterBreak="0">
    <w:nsid w:val="6AEB0707"/>
    <w:multiLevelType w:val="hybridMultilevel"/>
    <w:tmpl w:val="4DB23CDC"/>
    <w:lvl w:ilvl="0" w:tplc="B35C63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D3675C4"/>
    <w:multiLevelType w:val="hybridMultilevel"/>
    <w:tmpl w:val="409643E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7141C"/>
    <w:multiLevelType w:val="singleLevel"/>
    <w:tmpl w:val="5510D1A2"/>
    <w:lvl w:ilvl="0">
      <w:start w:val="7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hAnsi="Times New Roman" w:hint="default"/>
      </w:rPr>
    </w:lvl>
  </w:abstractNum>
  <w:abstractNum w:abstractNumId="24" w15:restartNumberingAfterBreak="0">
    <w:nsid w:val="706C2CC6"/>
    <w:multiLevelType w:val="multilevel"/>
    <w:tmpl w:val="147E7BD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25" w15:restartNumberingAfterBreak="0">
    <w:nsid w:val="74617C73"/>
    <w:multiLevelType w:val="hybridMultilevel"/>
    <w:tmpl w:val="5652159A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81F14F7"/>
    <w:multiLevelType w:val="hybridMultilevel"/>
    <w:tmpl w:val="F4F6270A"/>
    <w:lvl w:ilvl="0" w:tplc="E996CEC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323540"/>
    <w:multiLevelType w:val="hybridMultilevel"/>
    <w:tmpl w:val="B3020244"/>
    <w:lvl w:ilvl="0" w:tplc="8F88F9B2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8" w15:restartNumberingAfterBreak="0">
    <w:nsid w:val="7B1C2C8B"/>
    <w:multiLevelType w:val="hybridMultilevel"/>
    <w:tmpl w:val="462EE0F6"/>
    <w:lvl w:ilvl="0" w:tplc="5E72C208">
      <w:start w:val="43"/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9" w15:restartNumberingAfterBreak="0">
    <w:nsid w:val="7D690437"/>
    <w:multiLevelType w:val="hybridMultilevel"/>
    <w:tmpl w:val="F60E2722"/>
    <w:lvl w:ilvl="0" w:tplc="1B54D82E">
      <w:start w:val="43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7F6D42C1"/>
    <w:multiLevelType w:val="hybridMultilevel"/>
    <w:tmpl w:val="61D49246"/>
    <w:lvl w:ilvl="0" w:tplc="041A000F">
      <w:start w:val="1"/>
      <w:numFmt w:val="decimal"/>
      <w:lvlText w:val="%1."/>
      <w:lvlJc w:val="left"/>
      <w:pPr>
        <w:ind w:left="928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8"/>
  </w:num>
  <w:num w:numId="3">
    <w:abstractNumId w:val="19"/>
  </w:num>
  <w:num w:numId="4">
    <w:abstractNumId w:val="20"/>
  </w:num>
  <w:num w:numId="5">
    <w:abstractNumId w:val="16"/>
  </w:num>
  <w:num w:numId="6">
    <w:abstractNumId w:val="2"/>
  </w:num>
  <w:num w:numId="7">
    <w:abstractNumId w:val="17"/>
  </w:num>
  <w:num w:numId="8">
    <w:abstractNumId w:val="13"/>
  </w:num>
  <w:num w:numId="9">
    <w:abstractNumId w:val="14"/>
  </w:num>
  <w:num w:numId="10">
    <w:abstractNumId w:val="15"/>
  </w:num>
  <w:num w:numId="11">
    <w:abstractNumId w:val="0"/>
  </w:num>
  <w:num w:numId="12">
    <w:abstractNumId w:val="8"/>
  </w:num>
  <w:num w:numId="13">
    <w:abstractNumId w:val="4"/>
  </w:num>
  <w:num w:numId="14">
    <w:abstractNumId w:val="5"/>
  </w:num>
  <w:num w:numId="15">
    <w:abstractNumId w:val="29"/>
  </w:num>
  <w:num w:numId="16">
    <w:abstractNumId w:val="24"/>
  </w:num>
  <w:num w:numId="17">
    <w:abstractNumId w:val="10"/>
  </w:num>
  <w:num w:numId="18">
    <w:abstractNumId w:val="25"/>
  </w:num>
  <w:num w:numId="19">
    <w:abstractNumId w:val="9"/>
  </w:num>
  <w:num w:numId="20">
    <w:abstractNumId w:val="3"/>
  </w:num>
  <w:num w:numId="21">
    <w:abstractNumId w:val="6"/>
  </w:num>
  <w:num w:numId="22">
    <w:abstractNumId w:val="1"/>
  </w:num>
  <w:num w:numId="23">
    <w:abstractNumId w:val="30"/>
  </w:num>
  <w:num w:numId="24">
    <w:abstractNumId w:val="7"/>
  </w:num>
  <w:num w:numId="25">
    <w:abstractNumId w:val="12"/>
  </w:num>
  <w:num w:numId="26">
    <w:abstractNumId w:val="22"/>
  </w:num>
  <w:num w:numId="27">
    <w:abstractNumId w:val="26"/>
  </w:num>
  <w:num w:numId="28">
    <w:abstractNumId w:val="18"/>
  </w:num>
  <w:num w:numId="29">
    <w:abstractNumId w:val="21"/>
  </w:num>
  <w:num w:numId="30">
    <w:abstractNumId w:val="27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B81"/>
    <w:rsid w:val="00000C81"/>
    <w:rsid w:val="00002584"/>
    <w:rsid w:val="00003FB5"/>
    <w:rsid w:val="00004152"/>
    <w:rsid w:val="00011454"/>
    <w:rsid w:val="00012EDC"/>
    <w:rsid w:val="000141C1"/>
    <w:rsid w:val="00014D10"/>
    <w:rsid w:val="00017688"/>
    <w:rsid w:val="00021F24"/>
    <w:rsid w:val="00023F38"/>
    <w:rsid w:val="0002410A"/>
    <w:rsid w:val="0002438C"/>
    <w:rsid w:val="0002500D"/>
    <w:rsid w:val="00025522"/>
    <w:rsid w:val="0002668C"/>
    <w:rsid w:val="00031305"/>
    <w:rsid w:val="00033263"/>
    <w:rsid w:val="0003351F"/>
    <w:rsid w:val="00036050"/>
    <w:rsid w:val="00036B23"/>
    <w:rsid w:val="00036BA1"/>
    <w:rsid w:val="00037E3E"/>
    <w:rsid w:val="00040C64"/>
    <w:rsid w:val="00041304"/>
    <w:rsid w:val="000416B6"/>
    <w:rsid w:val="000425AA"/>
    <w:rsid w:val="00043FB5"/>
    <w:rsid w:val="000444C9"/>
    <w:rsid w:val="000456E3"/>
    <w:rsid w:val="000509CF"/>
    <w:rsid w:val="00051573"/>
    <w:rsid w:val="0005260B"/>
    <w:rsid w:val="00063FCA"/>
    <w:rsid w:val="00064907"/>
    <w:rsid w:val="00065598"/>
    <w:rsid w:val="000663FD"/>
    <w:rsid w:val="0007049D"/>
    <w:rsid w:val="0007095E"/>
    <w:rsid w:val="000715D7"/>
    <w:rsid w:val="00071EC9"/>
    <w:rsid w:val="00072611"/>
    <w:rsid w:val="00072DC6"/>
    <w:rsid w:val="00073292"/>
    <w:rsid w:val="00073317"/>
    <w:rsid w:val="00074AC9"/>
    <w:rsid w:val="00075A9F"/>
    <w:rsid w:val="00077EAB"/>
    <w:rsid w:val="000809AB"/>
    <w:rsid w:val="00082634"/>
    <w:rsid w:val="00084280"/>
    <w:rsid w:val="00086C50"/>
    <w:rsid w:val="00092DDE"/>
    <w:rsid w:val="00092EE1"/>
    <w:rsid w:val="000936FC"/>
    <w:rsid w:val="0009387C"/>
    <w:rsid w:val="00093E69"/>
    <w:rsid w:val="0009602D"/>
    <w:rsid w:val="000964C7"/>
    <w:rsid w:val="000A0ED2"/>
    <w:rsid w:val="000A509A"/>
    <w:rsid w:val="000A771B"/>
    <w:rsid w:val="000B1E3B"/>
    <w:rsid w:val="000B1EC7"/>
    <w:rsid w:val="000B20D7"/>
    <w:rsid w:val="000B24F9"/>
    <w:rsid w:val="000B3676"/>
    <w:rsid w:val="000B3ADC"/>
    <w:rsid w:val="000B41DA"/>
    <w:rsid w:val="000B451F"/>
    <w:rsid w:val="000B6710"/>
    <w:rsid w:val="000B711D"/>
    <w:rsid w:val="000B74D9"/>
    <w:rsid w:val="000B7D13"/>
    <w:rsid w:val="000B7D84"/>
    <w:rsid w:val="000C031D"/>
    <w:rsid w:val="000C3793"/>
    <w:rsid w:val="000C4BA8"/>
    <w:rsid w:val="000C5356"/>
    <w:rsid w:val="000C6B00"/>
    <w:rsid w:val="000D0053"/>
    <w:rsid w:val="000D35B5"/>
    <w:rsid w:val="000D3C45"/>
    <w:rsid w:val="000D6161"/>
    <w:rsid w:val="000E41C2"/>
    <w:rsid w:val="000E5B84"/>
    <w:rsid w:val="000E61B5"/>
    <w:rsid w:val="000E663A"/>
    <w:rsid w:val="000F02C1"/>
    <w:rsid w:val="000F0BB3"/>
    <w:rsid w:val="000F1708"/>
    <w:rsid w:val="000F5081"/>
    <w:rsid w:val="000F50C3"/>
    <w:rsid w:val="001009E8"/>
    <w:rsid w:val="0010227A"/>
    <w:rsid w:val="00104CE9"/>
    <w:rsid w:val="001104D3"/>
    <w:rsid w:val="00110A66"/>
    <w:rsid w:val="00110FA6"/>
    <w:rsid w:val="00111527"/>
    <w:rsid w:val="00113B72"/>
    <w:rsid w:val="0011528D"/>
    <w:rsid w:val="0011576E"/>
    <w:rsid w:val="001161DC"/>
    <w:rsid w:val="001214BB"/>
    <w:rsid w:val="00121B91"/>
    <w:rsid w:val="00121D54"/>
    <w:rsid w:val="00121E68"/>
    <w:rsid w:val="0012342D"/>
    <w:rsid w:val="00125C75"/>
    <w:rsid w:val="001266A1"/>
    <w:rsid w:val="001301D1"/>
    <w:rsid w:val="0013213A"/>
    <w:rsid w:val="00136EDC"/>
    <w:rsid w:val="00140A83"/>
    <w:rsid w:val="0014182D"/>
    <w:rsid w:val="00145EF6"/>
    <w:rsid w:val="00146EE2"/>
    <w:rsid w:val="00150518"/>
    <w:rsid w:val="001527C2"/>
    <w:rsid w:val="001531C3"/>
    <w:rsid w:val="0015441C"/>
    <w:rsid w:val="00154AAF"/>
    <w:rsid w:val="00155A4A"/>
    <w:rsid w:val="001574B9"/>
    <w:rsid w:val="0016000F"/>
    <w:rsid w:val="00160D74"/>
    <w:rsid w:val="001611BB"/>
    <w:rsid w:val="00164A3E"/>
    <w:rsid w:val="00165D07"/>
    <w:rsid w:val="00165D14"/>
    <w:rsid w:val="00172217"/>
    <w:rsid w:val="001723C8"/>
    <w:rsid w:val="00173981"/>
    <w:rsid w:val="00173A77"/>
    <w:rsid w:val="00173CC0"/>
    <w:rsid w:val="00174C63"/>
    <w:rsid w:val="00176163"/>
    <w:rsid w:val="0017736E"/>
    <w:rsid w:val="0018101F"/>
    <w:rsid w:val="001816ED"/>
    <w:rsid w:val="00181BBF"/>
    <w:rsid w:val="0018557C"/>
    <w:rsid w:val="00185EF7"/>
    <w:rsid w:val="00186584"/>
    <w:rsid w:val="0018682E"/>
    <w:rsid w:val="00187265"/>
    <w:rsid w:val="00187789"/>
    <w:rsid w:val="00192C5C"/>
    <w:rsid w:val="001937E6"/>
    <w:rsid w:val="00193C92"/>
    <w:rsid w:val="00195DC8"/>
    <w:rsid w:val="00197A3B"/>
    <w:rsid w:val="00197BDA"/>
    <w:rsid w:val="001A055B"/>
    <w:rsid w:val="001A1BFE"/>
    <w:rsid w:val="001A1C12"/>
    <w:rsid w:val="001A5B63"/>
    <w:rsid w:val="001A63B1"/>
    <w:rsid w:val="001A6A66"/>
    <w:rsid w:val="001B3264"/>
    <w:rsid w:val="001B3344"/>
    <w:rsid w:val="001B74A4"/>
    <w:rsid w:val="001C0DB9"/>
    <w:rsid w:val="001C0E10"/>
    <w:rsid w:val="001C1957"/>
    <w:rsid w:val="001C1DE0"/>
    <w:rsid w:val="001C25F7"/>
    <w:rsid w:val="001C2770"/>
    <w:rsid w:val="001C3BCB"/>
    <w:rsid w:val="001C3D3F"/>
    <w:rsid w:val="001C4D57"/>
    <w:rsid w:val="001C5583"/>
    <w:rsid w:val="001C5FD7"/>
    <w:rsid w:val="001C675C"/>
    <w:rsid w:val="001D0430"/>
    <w:rsid w:val="001D164D"/>
    <w:rsid w:val="001D1795"/>
    <w:rsid w:val="001D1CF8"/>
    <w:rsid w:val="001D2CB8"/>
    <w:rsid w:val="001D47CB"/>
    <w:rsid w:val="001E1197"/>
    <w:rsid w:val="001E42F0"/>
    <w:rsid w:val="001E493A"/>
    <w:rsid w:val="001E5BA4"/>
    <w:rsid w:val="001E73EA"/>
    <w:rsid w:val="001F186C"/>
    <w:rsid w:val="001F39B6"/>
    <w:rsid w:val="001F5551"/>
    <w:rsid w:val="001F55A1"/>
    <w:rsid w:val="001F6933"/>
    <w:rsid w:val="001F7944"/>
    <w:rsid w:val="00200030"/>
    <w:rsid w:val="00201397"/>
    <w:rsid w:val="002021A3"/>
    <w:rsid w:val="00205039"/>
    <w:rsid w:val="002078D7"/>
    <w:rsid w:val="00207DA4"/>
    <w:rsid w:val="00210620"/>
    <w:rsid w:val="0021317A"/>
    <w:rsid w:val="00214640"/>
    <w:rsid w:val="00216E9D"/>
    <w:rsid w:val="00224FBF"/>
    <w:rsid w:val="002264F0"/>
    <w:rsid w:val="00230A05"/>
    <w:rsid w:val="00231FC3"/>
    <w:rsid w:val="00232DC1"/>
    <w:rsid w:val="00236596"/>
    <w:rsid w:val="00237EF0"/>
    <w:rsid w:val="00241C22"/>
    <w:rsid w:val="002442E0"/>
    <w:rsid w:val="00244A7C"/>
    <w:rsid w:val="00245D12"/>
    <w:rsid w:val="0025128A"/>
    <w:rsid w:val="002514B0"/>
    <w:rsid w:val="00251580"/>
    <w:rsid w:val="00251FAE"/>
    <w:rsid w:val="00253D5D"/>
    <w:rsid w:val="002547FB"/>
    <w:rsid w:val="00255679"/>
    <w:rsid w:val="002565B8"/>
    <w:rsid w:val="00256ADF"/>
    <w:rsid w:val="00257585"/>
    <w:rsid w:val="00257D2C"/>
    <w:rsid w:val="00261632"/>
    <w:rsid w:val="00263286"/>
    <w:rsid w:val="002635D0"/>
    <w:rsid w:val="0026507C"/>
    <w:rsid w:val="00267008"/>
    <w:rsid w:val="00267D8C"/>
    <w:rsid w:val="002712AB"/>
    <w:rsid w:val="00271F2F"/>
    <w:rsid w:val="00272FE0"/>
    <w:rsid w:val="00274511"/>
    <w:rsid w:val="00281E7F"/>
    <w:rsid w:val="002825B6"/>
    <w:rsid w:val="00282972"/>
    <w:rsid w:val="00284A99"/>
    <w:rsid w:val="00290567"/>
    <w:rsid w:val="0029106D"/>
    <w:rsid w:val="0029139C"/>
    <w:rsid w:val="00293F8D"/>
    <w:rsid w:val="00294051"/>
    <w:rsid w:val="002953F6"/>
    <w:rsid w:val="0029684B"/>
    <w:rsid w:val="0029780C"/>
    <w:rsid w:val="002A09FA"/>
    <w:rsid w:val="002A0A30"/>
    <w:rsid w:val="002A1965"/>
    <w:rsid w:val="002A31FA"/>
    <w:rsid w:val="002A4132"/>
    <w:rsid w:val="002A4D3E"/>
    <w:rsid w:val="002A5C62"/>
    <w:rsid w:val="002B0B4C"/>
    <w:rsid w:val="002B4D14"/>
    <w:rsid w:val="002B74DA"/>
    <w:rsid w:val="002C34EC"/>
    <w:rsid w:val="002C371B"/>
    <w:rsid w:val="002C3FB6"/>
    <w:rsid w:val="002C599D"/>
    <w:rsid w:val="002C6236"/>
    <w:rsid w:val="002C6558"/>
    <w:rsid w:val="002D003C"/>
    <w:rsid w:val="002D1AD9"/>
    <w:rsid w:val="002D213B"/>
    <w:rsid w:val="002D69A5"/>
    <w:rsid w:val="002E19C9"/>
    <w:rsid w:val="002E1BCD"/>
    <w:rsid w:val="002E252E"/>
    <w:rsid w:val="002E472C"/>
    <w:rsid w:val="002E562F"/>
    <w:rsid w:val="002F0AFC"/>
    <w:rsid w:val="002F1334"/>
    <w:rsid w:val="002F1F8D"/>
    <w:rsid w:val="0030027C"/>
    <w:rsid w:val="00300B97"/>
    <w:rsid w:val="00301C4D"/>
    <w:rsid w:val="00306293"/>
    <w:rsid w:val="0031057C"/>
    <w:rsid w:val="003109D0"/>
    <w:rsid w:val="00311796"/>
    <w:rsid w:val="0031359A"/>
    <w:rsid w:val="00314120"/>
    <w:rsid w:val="00314BD7"/>
    <w:rsid w:val="00314D3A"/>
    <w:rsid w:val="00316562"/>
    <w:rsid w:val="00320138"/>
    <w:rsid w:val="00321138"/>
    <w:rsid w:val="0032156B"/>
    <w:rsid w:val="00321D65"/>
    <w:rsid w:val="00322C1C"/>
    <w:rsid w:val="0032323D"/>
    <w:rsid w:val="00323537"/>
    <w:rsid w:val="0032497A"/>
    <w:rsid w:val="00333AA2"/>
    <w:rsid w:val="00333EBC"/>
    <w:rsid w:val="00333EDD"/>
    <w:rsid w:val="00335615"/>
    <w:rsid w:val="003455C0"/>
    <w:rsid w:val="00346943"/>
    <w:rsid w:val="003502EC"/>
    <w:rsid w:val="003506AA"/>
    <w:rsid w:val="00350E3D"/>
    <w:rsid w:val="00351D9D"/>
    <w:rsid w:val="00352509"/>
    <w:rsid w:val="00353508"/>
    <w:rsid w:val="00354544"/>
    <w:rsid w:val="003550E5"/>
    <w:rsid w:val="003560B0"/>
    <w:rsid w:val="00360C4B"/>
    <w:rsid w:val="003612D0"/>
    <w:rsid w:val="00363BDB"/>
    <w:rsid w:val="00364570"/>
    <w:rsid w:val="0036584C"/>
    <w:rsid w:val="0036617F"/>
    <w:rsid w:val="0036793D"/>
    <w:rsid w:val="00370CD0"/>
    <w:rsid w:val="0037161A"/>
    <w:rsid w:val="003745FB"/>
    <w:rsid w:val="0037463E"/>
    <w:rsid w:val="00375671"/>
    <w:rsid w:val="003761A8"/>
    <w:rsid w:val="003765C4"/>
    <w:rsid w:val="00377207"/>
    <w:rsid w:val="0037761F"/>
    <w:rsid w:val="003777F0"/>
    <w:rsid w:val="003804D9"/>
    <w:rsid w:val="00380D6E"/>
    <w:rsid w:val="00381750"/>
    <w:rsid w:val="00386AC7"/>
    <w:rsid w:val="0039072F"/>
    <w:rsid w:val="00392791"/>
    <w:rsid w:val="00393860"/>
    <w:rsid w:val="0039397B"/>
    <w:rsid w:val="003960DC"/>
    <w:rsid w:val="00396918"/>
    <w:rsid w:val="00396DD1"/>
    <w:rsid w:val="00397471"/>
    <w:rsid w:val="003A0021"/>
    <w:rsid w:val="003A0F92"/>
    <w:rsid w:val="003A1DE1"/>
    <w:rsid w:val="003A4264"/>
    <w:rsid w:val="003A46E4"/>
    <w:rsid w:val="003A5071"/>
    <w:rsid w:val="003A5A01"/>
    <w:rsid w:val="003A6513"/>
    <w:rsid w:val="003A7DCF"/>
    <w:rsid w:val="003B072B"/>
    <w:rsid w:val="003B299A"/>
    <w:rsid w:val="003B45F3"/>
    <w:rsid w:val="003C06BF"/>
    <w:rsid w:val="003C115B"/>
    <w:rsid w:val="003C244F"/>
    <w:rsid w:val="003C260F"/>
    <w:rsid w:val="003C4639"/>
    <w:rsid w:val="003C79B2"/>
    <w:rsid w:val="003D0823"/>
    <w:rsid w:val="003D0997"/>
    <w:rsid w:val="003D0DC8"/>
    <w:rsid w:val="003D24DA"/>
    <w:rsid w:val="003D4F1C"/>
    <w:rsid w:val="003D7331"/>
    <w:rsid w:val="003E0A17"/>
    <w:rsid w:val="003E4AE7"/>
    <w:rsid w:val="003E5F2A"/>
    <w:rsid w:val="003E6A51"/>
    <w:rsid w:val="003E6E72"/>
    <w:rsid w:val="003F0085"/>
    <w:rsid w:val="003F0C81"/>
    <w:rsid w:val="003F3621"/>
    <w:rsid w:val="003F43D9"/>
    <w:rsid w:val="003F44E1"/>
    <w:rsid w:val="003F4959"/>
    <w:rsid w:val="003F61D1"/>
    <w:rsid w:val="003F6366"/>
    <w:rsid w:val="003F6498"/>
    <w:rsid w:val="003F65DE"/>
    <w:rsid w:val="00402606"/>
    <w:rsid w:val="00404B04"/>
    <w:rsid w:val="00404EB4"/>
    <w:rsid w:val="004118F1"/>
    <w:rsid w:val="0041292C"/>
    <w:rsid w:val="004129A6"/>
    <w:rsid w:val="0041450F"/>
    <w:rsid w:val="00414FA0"/>
    <w:rsid w:val="00421153"/>
    <w:rsid w:val="004223DE"/>
    <w:rsid w:val="004264C6"/>
    <w:rsid w:val="00426563"/>
    <w:rsid w:val="00426DC9"/>
    <w:rsid w:val="00427500"/>
    <w:rsid w:val="00430A30"/>
    <w:rsid w:val="00435431"/>
    <w:rsid w:val="00435C37"/>
    <w:rsid w:val="00437DCC"/>
    <w:rsid w:val="0044253F"/>
    <w:rsid w:val="00443B45"/>
    <w:rsid w:val="004525C7"/>
    <w:rsid w:val="004630DD"/>
    <w:rsid w:val="004645AC"/>
    <w:rsid w:val="004651A4"/>
    <w:rsid w:val="00467100"/>
    <w:rsid w:val="00470D68"/>
    <w:rsid w:val="00471081"/>
    <w:rsid w:val="00471812"/>
    <w:rsid w:val="00471DC5"/>
    <w:rsid w:val="00471F8C"/>
    <w:rsid w:val="00473CB7"/>
    <w:rsid w:val="004761AE"/>
    <w:rsid w:val="004761F5"/>
    <w:rsid w:val="00476E8E"/>
    <w:rsid w:val="00480818"/>
    <w:rsid w:val="00482569"/>
    <w:rsid w:val="00482BDA"/>
    <w:rsid w:val="00482D96"/>
    <w:rsid w:val="00484A1F"/>
    <w:rsid w:val="00486405"/>
    <w:rsid w:val="00487492"/>
    <w:rsid w:val="0049053C"/>
    <w:rsid w:val="00490860"/>
    <w:rsid w:val="004913BF"/>
    <w:rsid w:val="00491DD3"/>
    <w:rsid w:val="00496D1B"/>
    <w:rsid w:val="00496DE0"/>
    <w:rsid w:val="00496F2E"/>
    <w:rsid w:val="004A0151"/>
    <w:rsid w:val="004A11FD"/>
    <w:rsid w:val="004A1FE6"/>
    <w:rsid w:val="004A2155"/>
    <w:rsid w:val="004A22AB"/>
    <w:rsid w:val="004A407C"/>
    <w:rsid w:val="004A578F"/>
    <w:rsid w:val="004A57C6"/>
    <w:rsid w:val="004A61E3"/>
    <w:rsid w:val="004B06A2"/>
    <w:rsid w:val="004B105F"/>
    <w:rsid w:val="004B1355"/>
    <w:rsid w:val="004B140E"/>
    <w:rsid w:val="004B3A30"/>
    <w:rsid w:val="004B53EE"/>
    <w:rsid w:val="004B5911"/>
    <w:rsid w:val="004B5D12"/>
    <w:rsid w:val="004C08CB"/>
    <w:rsid w:val="004C10B8"/>
    <w:rsid w:val="004C20A8"/>
    <w:rsid w:val="004C2448"/>
    <w:rsid w:val="004C341D"/>
    <w:rsid w:val="004C56B8"/>
    <w:rsid w:val="004C7329"/>
    <w:rsid w:val="004C791C"/>
    <w:rsid w:val="004D1996"/>
    <w:rsid w:val="004D3744"/>
    <w:rsid w:val="004D3E8A"/>
    <w:rsid w:val="004D6F5E"/>
    <w:rsid w:val="004E1992"/>
    <w:rsid w:val="004E19FF"/>
    <w:rsid w:val="004E3074"/>
    <w:rsid w:val="004E4519"/>
    <w:rsid w:val="004E4E17"/>
    <w:rsid w:val="004E5C11"/>
    <w:rsid w:val="004E720A"/>
    <w:rsid w:val="004E7348"/>
    <w:rsid w:val="004E7F44"/>
    <w:rsid w:val="004F2DBC"/>
    <w:rsid w:val="004F41AA"/>
    <w:rsid w:val="004F4395"/>
    <w:rsid w:val="004F4FC0"/>
    <w:rsid w:val="00500B9E"/>
    <w:rsid w:val="005022AC"/>
    <w:rsid w:val="005028E3"/>
    <w:rsid w:val="00510265"/>
    <w:rsid w:val="00511393"/>
    <w:rsid w:val="00512988"/>
    <w:rsid w:val="00513BA8"/>
    <w:rsid w:val="00514D57"/>
    <w:rsid w:val="00517D4D"/>
    <w:rsid w:val="00517FC2"/>
    <w:rsid w:val="00521340"/>
    <w:rsid w:val="005222B9"/>
    <w:rsid w:val="00526580"/>
    <w:rsid w:val="00534365"/>
    <w:rsid w:val="00534590"/>
    <w:rsid w:val="005363AD"/>
    <w:rsid w:val="00540F55"/>
    <w:rsid w:val="0054435C"/>
    <w:rsid w:val="0054478D"/>
    <w:rsid w:val="00546396"/>
    <w:rsid w:val="00546550"/>
    <w:rsid w:val="00557CF8"/>
    <w:rsid w:val="00560CE2"/>
    <w:rsid w:val="005616AC"/>
    <w:rsid w:val="005629A2"/>
    <w:rsid w:val="005639A7"/>
    <w:rsid w:val="00566741"/>
    <w:rsid w:val="00570122"/>
    <w:rsid w:val="0057248F"/>
    <w:rsid w:val="005728AC"/>
    <w:rsid w:val="00577A0D"/>
    <w:rsid w:val="00580AF1"/>
    <w:rsid w:val="00581390"/>
    <w:rsid w:val="00581394"/>
    <w:rsid w:val="005824F4"/>
    <w:rsid w:val="00583083"/>
    <w:rsid w:val="00583420"/>
    <w:rsid w:val="00584934"/>
    <w:rsid w:val="00584CE6"/>
    <w:rsid w:val="0058548A"/>
    <w:rsid w:val="005864DC"/>
    <w:rsid w:val="00586B37"/>
    <w:rsid w:val="00587E1B"/>
    <w:rsid w:val="00591935"/>
    <w:rsid w:val="005945D9"/>
    <w:rsid w:val="00595130"/>
    <w:rsid w:val="00596962"/>
    <w:rsid w:val="005A0D1A"/>
    <w:rsid w:val="005A1DEA"/>
    <w:rsid w:val="005A2337"/>
    <w:rsid w:val="005A4553"/>
    <w:rsid w:val="005A6780"/>
    <w:rsid w:val="005A6935"/>
    <w:rsid w:val="005A71FF"/>
    <w:rsid w:val="005B3F7E"/>
    <w:rsid w:val="005B41EB"/>
    <w:rsid w:val="005B53E7"/>
    <w:rsid w:val="005B6E07"/>
    <w:rsid w:val="005C2D00"/>
    <w:rsid w:val="005C399F"/>
    <w:rsid w:val="005C5277"/>
    <w:rsid w:val="005C5D7F"/>
    <w:rsid w:val="005C7054"/>
    <w:rsid w:val="005C7C6E"/>
    <w:rsid w:val="005C7DDD"/>
    <w:rsid w:val="005D3348"/>
    <w:rsid w:val="005D33FD"/>
    <w:rsid w:val="005D4B99"/>
    <w:rsid w:val="005D56C3"/>
    <w:rsid w:val="005D6939"/>
    <w:rsid w:val="005D6F9E"/>
    <w:rsid w:val="005D7F2C"/>
    <w:rsid w:val="005E09C5"/>
    <w:rsid w:val="005E12DC"/>
    <w:rsid w:val="005E4302"/>
    <w:rsid w:val="005E49A7"/>
    <w:rsid w:val="005E52C0"/>
    <w:rsid w:val="005E58AF"/>
    <w:rsid w:val="005E6E05"/>
    <w:rsid w:val="005E7640"/>
    <w:rsid w:val="005E7831"/>
    <w:rsid w:val="005F12AE"/>
    <w:rsid w:val="005F2278"/>
    <w:rsid w:val="005F2640"/>
    <w:rsid w:val="005F3600"/>
    <w:rsid w:val="005F71FC"/>
    <w:rsid w:val="005F74F2"/>
    <w:rsid w:val="006022FE"/>
    <w:rsid w:val="00606303"/>
    <w:rsid w:val="0061241B"/>
    <w:rsid w:val="00614C14"/>
    <w:rsid w:val="00614D3D"/>
    <w:rsid w:val="0062147F"/>
    <w:rsid w:val="00624605"/>
    <w:rsid w:val="00625B51"/>
    <w:rsid w:val="00625CA9"/>
    <w:rsid w:val="00625F78"/>
    <w:rsid w:val="00626F74"/>
    <w:rsid w:val="00627484"/>
    <w:rsid w:val="00627D65"/>
    <w:rsid w:val="0063046B"/>
    <w:rsid w:val="00630D4A"/>
    <w:rsid w:val="00631AFE"/>
    <w:rsid w:val="00633164"/>
    <w:rsid w:val="00634D80"/>
    <w:rsid w:val="0063590C"/>
    <w:rsid w:val="00637951"/>
    <w:rsid w:val="006400D4"/>
    <w:rsid w:val="00641579"/>
    <w:rsid w:val="0064179E"/>
    <w:rsid w:val="00643917"/>
    <w:rsid w:val="00643A73"/>
    <w:rsid w:val="00645328"/>
    <w:rsid w:val="00646919"/>
    <w:rsid w:val="00647393"/>
    <w:rsid w:val="0064779A"/>
    <w:rsid w:val="00651C1E"/>
    <w:rsid w:val="00653380"/>
    <w:rsid w:val="006543CA"/>
    <w:rsid w:val="006574E4"/>
    <w:rsid w:val="00660A30"/>
    <w:rsid w:val="006615E3"/>
    <w:rsid w:val="006630B5"/>
    <w:rsid w:val="00665AE0"/>
    <w:rsid w:val="00667B4A"/>
    <w:rsid w:val="0067284B"/>
    <w:rsid w:val="00674A5F"/>
    <w:rsid w:val="0067555E"/>
    <w:rsid w:val="00680B00"/>
    <w:rsid w:val="00680D57"/>
    <w:rsid w:val="00682640"/>
    <w:rsid w:val="00684889"/>
    <w:rsid w:val="00685ADC"/>
    <w:rsid w:val="006872D1"/>
    <w:rsid w:val="00687A0D"/>
    <w:rsid w:val="00690897"/>
    <w:rsid w:val="00693A02"/>
    <w:rsid w:val="0069483D"/>
    <w:rsid w:val="006951A6"/>
    <w:rsid w:val="0069564E"/>
    <w:rsid w:val="006975BC"/>
    <w:rsid w:val="006A08DB"/>
    <w:rsid w:val="006A1420"/>
    <w:rsid w:val="006A1A97"/>
    <w:rsid w:val="006A2F3B"/>
    <w:rsid w:val="006A3475"/>
    <w:rsid w:val="006A3EBD"/>
    <w:rsid w:val="006A5B75"/>
    <w:rsid w:val="006A69CF"/>
    <w:rsid w:val="006A6F14"/>
    <w:rsid w:val="006A7600"/>
    <w:rsid w:val="006A7E61"/>
    <w:rsid w:val="006B12F4"/>
    <w:rsid w:val="006B2F85"/>
    <w:rsid w:val="006B48AE"/>
    <w:rsid w:val="006B5F85"/>
    <w:rsid w:val="006C08A1"/>
    <w:rsid w:val="006C1398"/>
    <w:rsid w:val="006C1799"/>
    <w:rsid w:val="006C1CD3"/>
    <w:rsid w:val="006C255D"/>
    <w:rsid w:val="006C4283"/>
    <w:rsid w:val="006D290E"/>
    <w:rsid w:val="006D4D8B"/>
    <w:rsid w:val="006D6B09"/>
    <w:rsid w:val="006E0CD9"/>
    <w:rsid w:val="006E10EA"/>
    <w:rsid w:val="006E1835"/>
    <w:rsid w:val="006E211A"/>
    <w:rsid w:val="006E2349"/>
    <w:rsid w:val="006E3209"/>
    <w:rsid w:val="006E33DB"/>
    <w:rsid w:val="006E5752"/>
    <w:rsid w:val="006E6007"/>
    <w:rsid w:val="006F4E27"/>
    <w:rsid w:val="006F5F8D"/>
    <w:rsid w:val="006F7599"/>
    <w:rsid w:val="007006C6"/>
    <w:rsid w:val="00700791"/>
    <w:rsid w:val="0070295A"/>
    <w:rsid w:val="007050B1"/>
    <w:rsid w:val="007062FF"/>
    <w:rsid w:val="00706704"/>
    <w:rsid w:val="00707146"/>
    <w:rsid w:val="00711F63"/>
    <w:rsid w:val="00716ACA"/>
    <w:rsid w:val="00721384"/>
    <w:rsid w:val="0072409B"/>
    <w:rsid w:val="007248F8"/>
    <w:rsid w:val="00725FD7"/>
    <w:rsid w:val="00727B6B"/>
    <w:rsid w:val="0073786F"/>
    <w:rsid w:val="00740A15"/>
    <w:rsid w:val="00740ADF"/>
    <w:rsid w:val="0074191B"/>
    <w:rsid w:val="00742131"/>
    <w:rsid w:val="00744349"/>
    <w:rsid w:val="00744974"/>
    <w:rsid w:val="00745422"/>
    <w:rsid w:val="00745746"/>
    <w:rsid w:val="00750BBD"/>
    <w:rsid w:val="0075102D"/>
    <w:rsid w:val="00751958"/>
    <w:rsid w:val="00752561"/>
    <w:rsid w:val="00752A11"/>
    <w:rsid w:val="00752D15"/>
    <w:rsid w:val="00752FB0"/>
    <w:rsid w:val="0075535A"/>
    <w:rsid w:val="00756AEE"/>
    <w:rsid w:val="00760C13"/>
    <w:rsid w:val="00760E4A"/>
    <w:rsid w:val="00760F3E"/>
    <w:rsid w:val="00760F7C"/>
    <w:rsid w:val="00763399"/>
    <w:rsid w:val="00763BE8"/>
    <w:rsid w:val="00763C4A"/>
    <w:rsid w:val="00764CAD"/>
    <w:rsid w:val="00765B3A"/>
    <w:rsid w:val="00766E6A"/>
    <w:rsid w:val="0077241B"/>
    <w:rsid w:val="007729EF"/>
    <w:rsid w:val="0077374C"/>
    <w:rsid w:val="00773816"/>
    <w:rsid w:val="00773E3B"/>
    <w:rsid w:val="0077464E"/>
    <w:rsid w:val="00774EBA"/>
    <w:rsid w:val="007750D3"/>
    <w:rsid w:val="00775328"/>
    <w:rsid w:val="00775F7F"/>
    <w:rsid w:val="00776F8A"/>
    <w:rsid w:val="007779E6"/>
    <w:rsid w:val="00780359"/>
    <w:rsid w:val="00781231"/>
    <w:rsid w:val="00782209"/>
    <w:rsid w:val="00782419"/>
    <w:rsid w:val="0078277B"/>
    <w:rsid w:val="00782EE5"/>
    <w:rsid w:val="00783732"/>
    <w:rsid w:val="007869AB"/>
    <w:rsid w:val="00787717"/>
    <w:rsid w:val="00793380"/>
    <w:rsid w:val="00793A24"/>
    <w:rsid w:val="00796B27"/>
    <w:rsid w:val="00796E2C"/>
    <w:rsid w:val="007A08D3"/>
    <w:rsid w:val="007A3FEB"/>
    <w:rsid w:val="007A4329"/>
    <w:rsid w:val="007A4B41"/>
    <w:rsid w:val="007A5FD5"/>
    <w:rsid w:val="007A66D7"/>
    <w:rsid w:val="007A756C"/>
    <w:rsid w:val="007A75A5"/>
    <w:rsid w:val="007A7DBB"/>
    <w:rsid w:val="007B1C56"/>
    <w:rsid w:val="007B3366"/>
    <w:rsid w:val="007B4995"/>
    <w:rsid w:val="007B68D5"/>
    <w:rsid w:val="007B6B7F"/>
    <w:rsid w:val="007B791D"/>
    <w:rsid w:val="007B7F6B"/>
    <w:rsid w:val="007C0B57"/>
    <w:rsid w:val="007C0DBC"/>
    <w:rsid w:val="007C1899"/>
    <w:rsid w:val="007C478A"/>
    <w:rsid w:val="007C5902"/>
    <w:rsid w:val="007D0A6B"/>
    <w:rsid w:val="007D367D"/>
    <w:rsid w:val="007E0A80"/>
    <w:rsid w:val="007E0AB9"/>
    <w:rsid w:val="007E102E"/>
    <w:rsid w:val="007E3AD9"/>
    <w:rsid w:val="007E425A"/>
    <w:rsid w:val="007E4FCC"/>
    <w:rsid w:val="007E5455"/>
    <w:rsid w:val="007E5C87"/>
    <w:rsid w:val="007E6B6B"/>
    <w:rsid w:val="007E7CFC"/>
    <w:rsid w:val="007F1BC0"/>
    <w:rsid w:val="007F2617"/>
    <w:rsid w:val="007F5CB3"/>
    <w:rsid w:val="007F5FD6"/>
    <w:rsid w:val="008000A8"/>
    <w:rsid w:val="008004AB"/>
    <w:rsid w:val="00801402"/>
    <w:rsid w:val="0080377B"/>
    <w:rsid w:val="00804C47"/>
    <w:rsid w:val="00805A7C"/>
    <w:rsid w:val="008074A8"/>
    <w:rsid w:val="00810E6E"/>
    <w:rsid w:val="0081186C"/>
    <w:rsid w:val="00816E6E"/>
    <w:rsid w:val="008179D9"/>
    <w:rsid w:val="00821938"/>
    <w:rsid w:val="008222E3"/>
    <w:rsid w:val="00822B38"/>
    <w:rsid w:val="00825655"/>
    <w:rsid w:val="00826DE9"/>
    <w:rsid w:val="008305A6"/>
    <w:rsid w:val="00830754"/>
    <w:rsid w:val="00830FE0"/>
    <w:rsid w:val="00831425"/>
    <w:rsid w:val="00831E16"/>
    <w:rsid w:val="00832583"/>
    <w:rsid w:val="008325BF"/>
    <w:rsid w:val="00834B7F"/>
    <w:rsid w:val="008355C8"/>
    <w:rsid w:val="008361AF"/>
    <w:rsid w:val="008367FD"/>
    <w:rsid w:val="008402C6"/>
    <w:rsid w:val="00841036"/>
    <w:rsid w:val="00842551"/>
    <w:rsid w:val="00842901"/>
    <w:rsid w:val="00842FCB"/>
    <w:rsid w:val="008433E4"/>
    <w:rsid w:val="00844475"/>
    <w:rsid w:val="00844492"/>
    <w:rsid w:val="00844FE1"/>
    <w:rsid w:val="0084755B"/>
    <w:rsid w:val="00852A5D"/>
    <w:rsid w:val="008555A8"/>
    <w:rsid w:val="00860960"/>
    <w:rsid w:val="00861431"/>
    <w:rsid w:val="008616C0"/>
    <w:rsid w:val="00861BD8"/>
    <w:rsid w:val="008620E6"/>
    <w:rsid w:val="00862441"/>
    <w:rsid w:val="00862FD5"/>
    <w:rsid w:val="00863A11"/>
    <w:rsid w:val="00864797"/>
    <w:rsid w:val="008654A0"/>
    <w:rsid w:val="00865BFC"/>
    <w:rsid w:val="008678D1"/>
    <w:rsid w:val="00874240"/>
    <w:rsid w:val="008744E3"/>
    <w:rsid w:val="008757FA"/>
    <w:rsid w:val="00877854"/>
    <w:rsid w:val="00881300"/>
    <w:rsid w:val="0088182A"/>
    <w:rsid w:val="00881CAD"/>
    <w:rsid w:val="00882BA0"/>
    <w:rsid w:val="008835D0"/>
    <w:rsid w:val="00885A91"/>
    <w:rsid w:val="00886539"/>
    <w:rsid w:val="00887AF2"/>
    <w:rsid w:val="0089105F"/>
    <w:rsid w:val="00892D76"/>
    <w:rsid w:val="0089583E"/>
    <w:rsid w:val="008A00E8"/>
    <w:rsid w:val="008A0D6F"/>
    <w:rsid w:val="008A14F8"/>
    <w:rsid w:val="008A26E7"/>
    <w:rsid w:val="008A383A"/>
    <w:rsid w:val="008A3D2C"/>
    <w:rsid w:val="008A47BA"/>
    <w:rsid w:val="008A4EC7"/>
    <w:rsid w:val="008A55FF"/>
    <w:rsid w:val="008A5AD1"/>
    <w:rsid w:val="008A5F12"/>
    <w:rsid w:val="008B2BBE"/>
    <w:rsid w:val="008B2E34"/>
    <w:rsid w:val="008B4FE5"/>
    <w:rsid w:val="008B6C71"/>
    <w:rsid w:val="008C2DF8"/>
    <w:rsid w:val="008D0012"/>
    <w:rsid w:val="008D115A"/>
    <w:rsid w:val="008D26F7"/>
    <w:rsid w:val="008D4299"/>
    <w:rsid w:val="008D4BD3"/>
    <w:rsid w:val="008D6434"/>
    <w:rsid w:val="008D6625"/>
    <w:rsid w:val="008D7CC8"/>
    <w:rsid w:val="008E0EE4"/>
    <w:rsid w:val="008E21A5"/>
    <w:rsid w:val="008E288F"/>
    <w:rsid w:val="008E2C7D"/>
    <w:rsid w:val="008E2D82"/>
    <w:rsid w:val="008E34C6"/>
    <w:rsid w:val="008E3DAE"/>
    <w:rsid w:val="008E3F09"/>
    <w:rsid w:val="008E4BD2"/>
    <w:rsid w:val="008E6BE3"/>
    <w:rsid w:val="008F1921"/>
    <w:rsid w:val="008F2198"/>
    <w:rsid w:val="008F222F"/>
    <w:rsid w:val="008F241C"/>
    <w:rsid w:val="008F2476"/>
    <w:rsid w:val="008F2E95"/>
    <w:rsid w:val="008F31E4"/>
    <w:rsid w:val="008F58C7"/>
    <w:rsid w:val="008F5B75"/>
    <w:rsid w:val="008F77CC"/>
    <w:rsid w:val="00903309"/>
    <w:rsid w:val="00903F3D"/>
    <w:rsid w:val="009045B2"/>
    <w:rsid w:val="00905438"/>
    <w:rsid w:val="00910D3B"/>
    <w:rsid w:val="00911C7E"/>
    <w:rsid w:val="0091233D"/>
    <w:rsid w:val="00913C2C"/>
    <w:rsid w:val="00914E93"/>
    <w:rsid w:val="0091554C"/>
    <w:rsid w:val="00915739"/>
    <w:rsid w:val="009157CB"/>
    <w:rsid w:val="00915D9E"/>
    <w:rsid w:val="00917DA2"/>
    <w:rsid w:val="00922A4A"/>
    <w:rsid w:val="00923EEC"/>
    <w:rsid w:val="0092639B"/>
    <w:rsid w:val="009266BF"/>
    <w:rsid w:val="009276E7"/>
    <w:rsid w:val="009309C4"/>
    <w:rsid w:val="009314B5"/>
    <w:rsid w:val="009315AE"/>
    <w:rsid w:val="00931DAA"/>
    <w:rsid w:val="009328C2"/>
    <w:rsid w:val="00934133"/>
    <w:rsid w:val="009354D1"/>
    <w:rsid w:val="009357DA"/>
    <w:rsid w:val="0093738D"/>
    <w:rsid w:val="00940783"/>
    <w:rsid w:val="00941A99"/>
    <w:rsid w:val="00946AF6"/>
    <w:rsid w:val="009508CD"/>
    <w:rsid w:val="00951B7B"/>
    <w:rsid w:val="0095278B"/>
    <w:rsid w:val="009548E7"/>
    <w:rsid w:val="00954986"/>
    <w:rsid w:val="00954C96"/>
    <w:rsid w:val="0095501B"/>
    <w:rsid w:val="00956954"/>
    <w:rsid w:val="009572C2"/>
    <w:rsid w:val="0095735D"/>
    <w:rsid w:val="00957BFF"/>
    <w:rsid w:val="00957DE1"/>
    <w:rsid w:val="009603ED"/>
    <w:rsid w:val="00962E57"/>
    <w:rsid w:val="009649C2"/>
    <w:rsid w:val="00971201"/>
    <w:rsid w:val="009723C1"/>
    <w:rsid w:val="009736E9"/>
    <w:rsid w:val="00973F54"/>
    <w:rsid w:val="00974ED2"/>
    <w:rsid w:val="00974F81"/>
    <w:rsid w:val="00975E05"/>
    <w:rsid w:val="0098239A"/>
    <w:rsid w:val="00982EA5"/>
    <w:rsid w:val="009836EB"/>
    <w:rsid w:val="00986276"/>
    <w:rsid w:val="009870DA"/>
    <w:rsid w:val="00987C22"/>
    <w:rsid w:val="009915A0"/>
    <w:rsid w:val="00991AAC"/>
    <w:rsid w:val="00992235"/>
    <w:rsid w:val="00992D7B"/>
    <w:rsid w:val="00992FF2"/>
    <w:rsid w:val="009965CD"/>
    <w:rsid w:val="009A07E6"/>
    <w:rsid w:val="009A113E"/>
    <w:rsid w:val="009A3D4F"/>
    <w:rsid w:val="009A440F"/>
    <w:rsid w:val="009A5FD4"/>
    <w:rsid w:val="009A7C7E"/>
    <w:rsid w:val="009B019C"/>
    <w:rsid w:val="009B1620"/>
    <w:rsid w:val="009B2546"/>
    <w:rsid w:val="009B2991"/>
    <w:rsid w:val="009B2CBA"/>
    <w:rsid w:val="009B4A0A"/>
    <w:rsid w:val="009B5171"/>
    <w:rsid w:val="009B547A"/>
    <w:rsid w:val="009B7DED"/>
    <w:rsid w:val="009B7E0D"/>
    <w:rsid w:val="009C08A8"/>
    <w:rsid w:val="009C0FDB"/>
    <w:rsid w:val="009C17DA"/>
    <w:rsid w:val="009C3949"/>
    <w:rsid w:val="009C3C63"/>
    <w:rsid w:val="009C57C8"/>
    <w:rsid w:val="009C5EF1"/>
    <w:rsid w:val="009C6936"/>
    <w:rsid w:val="009C7077"/>
    <w:rsid w:val="009D605D"/>
    <w:rsid w:val="009D78A9"/>
    <w:rsid w:val="009E0AAB"/>
    <w:rsid w:val="009E25A2"/>
    <w:rsid w:val="009E3D7A"/>
    <w:rsid w:val="009E4C9F"/>
    <w:rsid w:val="009E4E56"/>
    <w:rsid w:val="009E4EFA"/>
    <w:rsid w:val="009E556E"/>
    <w:rsid w:val="009E558E"/>
    <w:rsid w:val="009E5CFB"/>
    <w:rsid w:val="009F00A2"/>
    <w:rsid w:val="009F1316"/>
    <w:rsid w:val="009F4257"/>
    <w:rsid w:val="009F451E"/>
    <w:rsid w:val="009F522C"/>
    <w:rsid w:val="00A015B0"/>
    <w:rsid w:val="00A01AE7"/>
    <w:rsid w:val="00A01C28"/>
    <w:rsid w:val="00A0290F"/>
    <w:rsid w:val="00A0327A"/>
    <w:rsid w:val="00A0377E"/>
    <w:rsid w:val="00A045E5"/>
    <w:rsid w:val="00A0652D"/>
    <w:rsid w:val="00A07F12"/>
    <w:rsid w:val="00A11046"/>
    <w:rsid w:val="00A1120D"/>
    <w:rsid w:val="00A14211"/>
    <w:rsid w:val="00A14758"/>
    <w:rsid w:val="00A15F26"/>
    <w:rsid w:val="00A16432"/>
    <w:rsid w:val="00A212EE"/>
    <w:rsid w:val="00A218E8"/>
    <w:rsid w:val="00A235D3"/>
    <w:rsid w:val="00A23979"/>
    <w:rsid w:val="00A26A28"/>
    <w:rsid w:val="00A274E6"/>
    <w:rsid w:val="00A27894"/>
    <w:rsid w:val="00A304DB"/>
    <w:rsid w:val="00A30585"/>
    <w:rsid w:val="00A30E08"/>
    <w:rsid w:val="00A30E18"/>
    <w:rsid w:val="00A3249D"/>
    <w:rsid w:val="00A33B81"/>
    <w:rsid w:val="00A33C67"/>
    <w:rsid w:val="00A35C2F"/>
    <w:rsid w:val="00A378F2"/>
    <w:rsid w:val="00A404CF"/>
    <w:rsid w:val="00A41CF8"/>
    <w:rsid w:val="00A42609"/>
    <w:rsid w:val="00A43617"/>
    <w:rsid w:val="00A44033"/>
    <w:rsid w:val="00A529B7"/>
    <w:rsid w:val="00A556A2"/>
    <w:rsid w:val="00A564D6"/>
    <w:rsid w:val="00A5707C"/>
    <w:rsid w:val="00A5721C"/>
    <w:rsid w:val="00A6026E"/>
    <w:rsid w:val="00A61CD6"/>
    <w:rsid w:val="00A62D9D"/>
    <w:rsid w:val="00A640EE"/>
    <w:rsid w:val="00A64514"/>
    <w:rsid w:val="00A65000"/>
    <w:rsid w:val="00A66C78"/>
    <w:rsid w:val="00A7294B"/>
    <w:rsid w:val="00A72F0B"/>
    <w:rsid w:val="00A74A06"/>
    <w:rsid w:val="00A74A76"/>
    <w:rsid w:val="00A75686"/>
    <w:rsid w:val="00A758A8"/>
    <w:rsid w:val="00A77595"/>
    <w:rsid w:val="00A80017"/>
    <w:rsid w:val="00A81186"/>
    <w:rsid w:val="00A813FB"/>
    <w:rsid w:val="00A85000"/>
    <w:rsid w:val="00A86484"/>
    <w:rsid w:val="00A903EF"/>
    <w:rsid w:val="00A908E0"/>
    <w:rsid w:val="00A90DDB"/>
    <w:rsid w:val="00A91BF7"/>
    <w:rsid w:val="00A92601"/>
    <w:rsid w:val="00A92F97"/>
    <w:rsid w:val="00A940B8"/>
    <w:rsid w:val="00A947C2"/>
    <w:rsid w:val="00A950AB"/>
    <w:rsid w:val="00A950B6"/>
    <w:rsid w:val="00A96B2D"/>
    <w:rsid w:val="00A97532"/>
    <w:rsid w:val="00AA5BC5"/>
    <w:rsid w:val="00AA7E01"/>
    <w:rsid w:val="00AA7E38"/>
    <w:rsid w:val="00AB04D8"/>
    <w:rsid w:val="00AB3122"/>
    <w:rsid w:val="00AB3BB1"/>
    <w:rsid w:val="00AB3D8C"/>
    <w:rsid w:val="00AB482D"/>
    <w:rsid w:val="00AB4EE9"/>
    <w:rsid w:val="00AB5551"/>
    <w:rsid w:val="00AB659F"/>
    <w:rsid w:val="00AC11B8"/>
    <w:rsid w:val="00AC1699"/>
    <w:rsid w:val="00AC3869"/>
    <w:rsid w:val="00AC5E12"/>
    <w:rsid w:val="00AD0A22"/>
    <w:rsid w:val="00AD2356"/>
    <w:rsid w:val="00AD3DC7"/>
    <w:rsid w:val="00AD48B1"/>
    <w:rsid w:val="00AE0D83"/>
    <w:rsid w:val="00AE10D1"/>
    <w:rsid w:val="00AE2768"/>
    <w:rsid w:val="00AE6A34"/>
    <w:rsid w:val="00AE736E"/>
    <w:rsid w:val="00AF1EB7"/>
    <w:rsid w:val="00AF2E7D"/>
    <w:rsid w:val="00AF6FB3"/>
    <w:rsid w:val="00AF7E51"/>
    <w:rsid w:val="00B0218D"/>
    <w:rsid w:val="00B03FAF"/>
    <w:rsid w:val="00B05769"/>
    <w:rsid w:val="00B128C7"/>
    <w:rsid w:val="00B13585"/>
    <w:rsid w:val="00B13A17"/>
    <w:rsid w:val="00B14D33"/>
    <w:rsid w:val="00B1555E"/>
    <w:rsid w:val="00B16457"/>
    <w:rsid w:val="00B166B2"/>
    <w:rsid w:val="00B20825"/>
    <w:rsid w:val="00B20C79"/>
    <w:rsid w:val="00B21FD4"/>
    <w:rsid w:val="00B22521"/>
    <w:rsid w:val="00B22687"/>
    <w:rsid w:val="00B22FBB"/>
    <w:rsid w:val="00B2300D"/>
    <w:rsid w:val="00B252CD"/>
    <w:rsid w:val="00B31BCF"/>
    <w:rsid w:val="00B324FA"/>
    <w:rsid w:val="00B3337F"/>
    <w:rsid w:val="00B33EAF"/>
    <w:rsid w:val="00B359F7"/>
    <w:rsid w:val="00B35BDA"/>
    <w:rsid w:val="00B35E8D"/>
    <w:rsid w:val="00B35ECC"/>
    <w:rsid w:val="00B36629"/>
    <w:rsid w:val="00B36A70"/>
    <w:rsid w:val="00B41FC6"/>
    <w:rsid w:val="00B4260E"/>
    <w:rsid w:val="00B42D33"/>
    <w:rsid w:val="00B43F62"/>
    <w:rsid w:val="00B4491C"/>
    <w:rsid w:val="00B46755"/>
    <w:rsid w:val="00B51DF2"/>
    <w:rsid w:val="00B55703"/>
    <w:rsid w:val="00B57610"/>
    <w:rsid w:val="00B60389"/>
    <w:rsid w:val="00B60E46"/>
    <w:rsid w:val="00B63024"/>
    <w:rsid w:val="00B652E1"/>
    <w:rsid w:val="00B7059B"/>
    <w:rsid w:val="00B72521"/>
    <w:rsid w:val="00B732F7"/>
    <w:rsid w:val="00B7342D"/>
    <w:rsid w:val="00B73530"/>
    <w:rsid w:val="00B73714"/>
    <w:rsid w:val="00B73796"/>
    <w:rsid w:val="00B73B12"/>
    <w:rsid w:val="00B743A9"/>
    <w:rsid w:val="00B75770"/>
    <w:rsid w:val="00B7590D"/>
    <w:rsid w:val="00B77DC8"/>
    <w:rsid w:val="00B803CB"/>
    <w:rsid w:val="00B803FC"/>
    <w:rsid w:val="00B80DE5"/>
    <w:rsid w:val="00B81CCE"/>
    <w:rsid w:val="00B82C9E"/>
    <w:rsid w:val="00B8441F"/>
    <w:rsid w:val="00B84DEE"/>
    <w:rsid w:val="00B85939"/>
    <w:rsid w:val="00B85A8C"/>
    <w:rsid w:val="00B85B81"/>
    <w:rsid w:val="00B90E42"/>
    <w:rsid w:val="00B925AC"/>
    <w:rsid w:val="00B928C9"/>
    <w:rsid w:val="00B93126"/>
    <w:rsid w:val="00B94CFD"/>
    <w:rsid w:val="00B9561C"/>
    <w:rsid w:val="00B9581D"/>
    <w:rsid w:val="00B97C1E"/>
    <w:rsid w:val="00BA0D38"/>
    <w:rsid w:val="00BA1982"/>
    <w:rsid w:val="00BA2EEF"/>
    <w:rsid w:val="00BA4210"/>
    <w:rsid w:val="00BA44C2"/>
    <w:rsid w:val="00BA716A"/>
    <w:rsid w:val="00BB2423"/>
    <w:rsid w:val="00BB2864"/>
    <w:rsid w:val="00BB36EF"/>
    <w:rsid w:val="00BB3F2E"/>
    <w:rsid w:val="00BB7696"/>
    <w:rsid w:val="00BC08AE"/>
    <w:rsid w:val="00BC08E1"/>
    <w:rsid w:val="00BC1A63"/>
    <w:rsid w:val="00BC1B87"/>
    <w:rsid w:val="00BC2147"/>
    <w:rsid w:val="00BC30B4"/>
    <w:rsid w:val="00BC4B6B"/>
    <w:rsid w:val="00BC5006"/>
    <w:rsid w:val="00BC5BEE"/>
    <w:rsid w:val="00BC69FF"/>
    <w:rsid w:val="00BC7164"/>
    <w:rsid w:val="00BC73DA"/>
    <w:rsid w:val="00BC7AC4"/>
    <w:rsid w:val="00BD2838"/>
    <w:rsid w:val="00BD3E4F"/>
    <w:rsid w:val="00BD4650"/>
    <w:rsid w:val="00BD544C"/>
    <w:rsid w:val="00BD75AC"/>
    <w:rsid w:val="00BE0ED3"/>
    <w:rsid w:val="00BE1D9D"/>
    <w:rsid w:val="00BE2A0B"/>
    <w:rsid w:val="00BE4273"/>
    <w:rsid w:val="00BE42C0"/>
    <w:rsid w:val="00BF089D"/>
    <w:rsid w:val="00BF1A64"/>
    <w:rsid w:val="00BF1F68"/>
    <w:rsid w:val="00BF55E5"/>
    <w:rsid w:val="00BF5A23"/>
    <w:rsid w:val="00BF5D99"/>
    <w:rsid w:val="00BF6618"/>
    <w:rsid w:val="00C021E3"/>
    <w:rsid w:val="00C04B03"/>
    <w:rsid w:val="00C05DE1"/>
    <w:rsid w:val="00C066D0"/>
    <w:rsid w:val="00C101CD"/>
    <w:rsid w:val="00C131CC"/>
    <w:rsid w:val="00C20476"/>
    <w:rsid w:val="00C2089F"/>
    <w:rsid w:val="00C23298"/>
    <w:rsid w:val="00C25833"/>
    <w:rsid w:val="00C2712E"/>
    <w:rsid w:val="00C27769"/>
    <w:rsid w:val="00C32BC2"/>
    <w:rsid w:val="00C3345A"/>
    <w:rsid w:val="00C34038"/>
    <w:rsid w:val="00C3579C"/>
    <w:rsid w:val="00C3794A"/>
    <w:rsid w:val="00C435BA"/>
    <w:rsid w:val="00C43776"/>
    <w:rsid w:val="00C43E73"/>
    <w:rsid w:val="00C43F53"/>
    <w:rsid w:val="00C46471"/>
    <w:rsid w:val="00C501C2"/>
    <w:rsid w:val="00C53F10"/>
    <w:rsid w:val="00C5450A"/>
    <w:rsid w:val="00C552B4"/>
    <w:rsid w:val="00C6045E"/>
    <w:rsid w:val="00C62581"/>
    <w:rsid w:val="00C63295"/>
    <w:rsid w:val="00C6424E"/>
    <w:rsid w:val="00C65C1F"/>
    <w:rsid w:val="00C65EC2"/>
    <w:rsid w:val="00C67533"/>
    <w:rsid w:val="00C70BD7"/>
    <w:rsid w:val="00C70C88"/>
    <w:rsid w:val="00C70CB5"/>
    <w:rsid w:val="00C71330"/>
    <w:rsid w:val="00C7525D"/>
    <w:rsid w:val="00C75842"/>
    <w:rsid w:val="00C811F4"/>
    <w:rsid w:val="00C84516"/>
    <w:rsid w:val="00C8479C"/>
    <w:rsid w:val="00C85ACB"/>
    <w:rsid w:val="00C85AD5"/>
    <w:rsid w:val="00C90A8F"/>
    <w:rsid w:val="00C92462"/>
    <w:rsid w:val="00C9775E"/>
    <w:rsid w:val="00CA05B6"/>
    <w:rsid w:val="00CA0C3A"/>
    <w:rsid w:val="00CA29C7"/>
    <w:rsid w:val="00CA2BE9"/>
    <w:rsid w:val="00CA32C3"/>
    <w:rsid w:val="00CA4C46"/>
    <w:rsid w:val="00CB1F62"/>
    <w:rsid w:val="00CB2C62"/>
    <w:rsid w:val="00CB4BA0"/>
    <w:rsid w:val="00CB61E6"/>
    <w:rsid w:val="00CB63B9"/>
    <w:rsid w:val="00CC0659"/>
    <w:rsid w:val="00CC1EF3"/>
    <w:rsid w:val="00CC228E"/>
    <w:rsid w:val="00CC296E"/>
    <w:rsid w:val="00CC2B35"/>
    <w:rsid w:val="00CC3965"/>
    <w:rsid w:val="00CC3BDD"/>
    <w:rsid w:val="00CC4840"/>
    <w:rsid w:val="00CC4F6C"/>
    <w:rsid w:val="00CC5FC6"/>
    <w:rsid w:val="00CD027C"/>
    <w:rsid w:val="00CD225F"/>
    <w:rsid w:val="00CD310B"/>
    <w:rsid w:val="00CD5079"/>
    <w:rsid w:val="00CD5950"/>
    <w:rsid w:val="00CD5E6B"/>
    <w:rsid w:val="00CE3E5D"/>
    <w:rsid w:val="00CE51F9"/>
    <w:rsid w:val="00CF1556"/>
    <w:rsid w:val="00CF15CD"/>
    <w:rsid w:val="00CF1B64"/>
    <w:rsid w:val="00CF1E95"/>
    <w:rsid w:val="00CF2CFF"/>
    <w:rsid w:val="00CF42C0"/>
    <w:rsid w:val="00CF43ED"/>
    <w:rsid w:val="00CF44D5"/>
    <w:rsid w:val="00CF5E24"/>
    <w:rsid w:val="00D04886"/>
    <w:rsid w:val="00D048DE"/>
    <w:rsid w:val="00D0517A"/>
    <w:rsid w:val="00D10913"/>
    <w:rsid w:val="00D11AAC"/>
    <w:rsid w:val="00D12215"/>
    <w:rsid w:val="00D12AA0"/>
    <w:rsid w:val="00D1401F"/>
    <w:rsid w:val="00D14B46"/>
    <w:rsid w:val="00D14BC1"/>
    <w:rsid w:val="00D1510C"/>
    <w:rsid w:val="00D15F0A"/>
    <w:rsid w:val="00D167F8"/>
    <w:rsid w:val="00D21E52"/>
    <w:rsid w:val="00D24204"/>
    <w:rsid w:val="00D242B6"/>
    <w:rsid w:val="00D2453E"/>
    <w:rsid w:val="00D2574E"/>
    <w:rsid w:val="00D25D59"/>
    <w:rsid w:val="00D25FCC"/>
    <w:rsid w:val="00D30718"/>
    <w:rsid w:val="00D311D6"/>
    <w:rsid w:val="00D319A7"/>
    <w:rsid w:val="00D33522"/>
    <w:rsid w:val="00D34638"/>
    <w:rsid w:val="00D34A5E"/>
    <w:rsid w:val="00D40260"/>
    <w:rsid w:val="00D405F7"/>
    <w:rsid w:val="00D41AC7"/>
    <w:rsid w:val="00D41BC9"/>
    <w:rsid w:val="00D41E10"/>
    <w:rsid w:val="00D4273D"/>
    <w:rsid w:val="00D4457E"/>
    <w:rsid w:val="00D45CDC"/>
    <w:rsid w:val="00D468D2"/>
    <w:rsid w:val="00D47A10"/>
    <w:rsid w:val="00D52836"/>
    <w:rsid w:val="00D5320A"/>
    <w:rsid w:val="00D54C11"/>
    <w:rsid w:val="00D56F45"/>
    <w:rsid w:val="00D570C4"/>
    <w:rsid w:val="00D61F91"/>
    <w:rsid w:val="00D63009"/>
    <w:rsid w:val="00D64EC0"/>
    <w:rsid w:val="00D65DCD"/>
    <w:rsid w:val="00D6693F"/>
    <w:rsid w:val="00D6737A"/>
    <w:rsid w:val="00D70F6C"/>
    <w:rsid w:val="00D72905"/>
    <w:rsid w:val="00D77438"/>
    <w:rsid w:val="00D77DC8"/>
    <w:rsid w:val="00D77E77"/>
    <w:rsid w:val="00D80BDD"/>
    <w:rsid w:val="00D810DC"/>
    <w:rsid w:val="00D84C7D"/>
    <w:rsid w:val="00D8557C"/>
    <w:rsid w:val="00D86162"/>
    <w:rsid w:val="00D866EC"/>
    <w:rsid w:val="00D87356"/>
    <w:rsid w:val="00D91D1B"/>
    <w:rsid w:val="00D94DA5"/>
    <w:rsid w:val="00D95028"/>
    <w:rsid w:val="00D95ECC"/>
    <w:rsid w:val="00D961D3"/>
    <w:rsid w:val="00D97C57"/>
    <w:rsid w:val="00DA258E"/>
    <w:rsid w:val="00DA2A6D"/>
    <w:rsid w:val="00DA3CE2"/>
    <w:rsid w:val="00DA3E90"/>
    <w:rsid w:val="00DA578C"/>
    <w:rsid w:val="00DA5D62"/>
    <w:rsid w:val="00DA7697"/>
    <w:rsid w:val="00DB1357"/>
    <w:rsid w:val="00DB1DBC"/>
    <w:rsid w:val="00DB1EDC"/>
    <w:rsid w:val="00DB1F0D"/>
    <w:rsid w:val="00DB2772"/>
    <w:rsid w:val="00DB2B37"/>
    <w:rsid w:val="00DB37B6"/>
    <w:rsid w:val="00DB58FC"/>
    <w:rsid w:val="00DB761B"/>
    <w:rsid w:val="00DC11B2"/>
    <w:rsid w:val="00DC1450"/>
    <w:rsid w:val="00DC270C"/>
    <w:rsid w:val="00DC54C2"/>
    <w:rsid w:val="00DC5AE5"/>
    <w:rsid w:val="00DC626F"/>
    <w:rsid w:val="00DC7AAE"/>
    <w:rsid w:val="00DD03F5"/>
    <w:rsid w:val="00DD0E50"/>
    <w:rsid w:val="00DD1C99"/>
    <w:rsid w:val="00DD3A61"/>
    <w:rsid w:val="00DD4B66"/>
    <w:rsid w:val="00DD50AE"/>
    <w:rsid w:val="00DD5E78"/>
    <w:rsid w:val="00DD7659"/>
    <w:rsid w:val="00DE2340"/>
    <w:rsid w:val="00DE36D8"/>
    <w:rsid w:val="00DE5B0F"/>
    <w:rsid w:val="00DE6E7C"/>
    <w:rsid w:val="00DF068B"/>
    <w:rsid w:val="00DF09BC"/>
    <w:rsid w:val="00DF4881"/>
    <w:rsid w:val="00DF6340"/>
    <w:rsid w:val="00DF706F"/>
    <w:rsid w:val="00DF7630"/>
    <w:rsid w:val="00E00E7D"/>
    <w:rsid w:val="00E0259D"/>
    <w:rsid w:val="00E034B1"/>
    <w:rsid w:val="00E03941"/>
    <w:rsid w:val="00E1270E"/>
    <w:rsid w:val="00E12F03"/>
    <w:rsid w:val="00E13C53"/>
    <w:rsid w:val="00E13D06"/>
    <w:rsid w:val="00E1445D"/>
    <w:rsid w:val="00E14BA8"/>
    <w:rsid w:val="00E16513"/>
    <w:rsid w:val="00E16939"/>
    <w:rsid w:val="00E1742A"/>
    <w:rsid w:val="00E21C66"/>
    <w:rsid w:val="00E220C0"/>
    <w:rsid w:val="00E22BF4"/>
    <w:rsid w:val="00E26CAF"/>
    <w:rsid w:val="00E27519"/>
    <w:rsid w:val="00E3272C"/>
    <w:rsid w:val="00E358BA"/>
    <w:rsid w:val="00E36FCF"/>
    <w:rsid w:val="00E37322"/>
    <w:rsid w:val="00E43D94"/>
    <w:rsid w:val="00E44F84"/>
    <w:rsid w:val="00E47135"/>
    <w:rsid w:val="00E4717C"/>
    <w:rsid w:val="00E47372"/>
    <w:rsid w:val="00E50076"/>
    <w:rsid w:val="00E508EA"/>
    <w:rsid w:val="00E535D8"/>
    <w:rsid w:val="00E541D0"/>
    <w:rsid w:val="00E55489"/>
    <w:rsid w:val="00E6194A"/>
    <w:rsid w:val="00E636FF"/>
    <w:rsid w:val="00E66259"/>
    <w:rsid w:val="00E71022"/>
    <w:rsid w:val="00E74D8C"/>
    <w:rsid w:val="00E76A75"/>
    <w:rsid w:val="00E77C51"/>
    <w:rsid w:val="00E816F9"/>
    <w:rsid w:val="00E8174A"/>
    <w:rsid w:val="00E84256"/>
    <w:rsid w:val="00E856C3"/>
    <w:rsid w:val="00E86AB3"/>
    <w:rsid w:val="00E87048"/>
    <w:rsid w:val="00E93094"/>
    <w:rsid w:val="00E934B8"/>
    <w:rsid w:val="00E950C3"/>
    <w:rsid w:val="00E96B0F"/>
    <w:rsid w:val="00E9747F"/>
    <w:rsid w:val="00EA066D"/>
    <w:rsid w:val="00EA2B17"/>
    <w:rsid w:val="00EA5A5C"/>
    <w:rsid w:val="00EA6BE7"/>
    <w:rsid w:val="00EB0579"/>
    <w:rsid w:val="00EB1673"/>
    <w:rsid w:val="00EB1DE3"/>
    <w:rsid w:val="00EB2B57"/>
    <w:rsid w:val="00EB30C6"/>
    <w:rsid w:val="00EB3D99"/>
    <w:rsid w:val="00EB3D9C"/>
    <w:rsid w:val="00EB492E"/>
    <w:rsid w:val="00EB5EC8"/>
    <w:rsid w:val="00EB7BB3"/>
    <w:rsid w:val="00EC35C0"/>
    <w:rsid w:val="00EC7B8B"/>
    <w:rsid w:val="00ED11F3"/>
    <w:rsid w:val="00ED17BA"/>
    <w:rsid w:val="00ED208C"/>
    <w:rsid w:val="00ED225B"/>
    <w:rsid w:val="00ED26CB"/>
    <w:rsid w:val="00ED2906"/>
    <w:rsid w:val="00ED30E0"/>
    <w:rsid w:val="00ED6372"/>
    <w:rsid w:val="00ED7A63"/>
    <w:rsid w:val="00EE04F7"/>
    <w:rsid w:val="00EE5F42"/>
    <w:rsid w:val="00EE7266"/>
    <w:rsid w:val="00EF3475"/>
    <w:rsid w:val="00EF4CDA"/>
    <w:rsid w:val="00EF6320"/>
    <w:rsid w:val="00EF6B3E"/>
    <w:rsid w:val="00F012D7"/>
    <w:rsid w:val="00F01A0A"/>
    <w:rsid w:val="00F0205E"/>
    <w:rsid w:val="00F03A89"/>
    <w:rsid w:val="00F056A7"/>
    <w:rsid w:val="00F057AA"/>
    <w:rsid w:val="00F10916"/>
    <w:rsid w:val="00F11BCF"/>
    <w:rsid w:val="00F12390"/>
    <w:rsid w:val="00F1273E"/>
    <w:rsid w:val="00F1414B"/>
    <w:rsid w:val="00F15CF4"/>
    <w:rsid w:val="00F20C09"/>
    <w:rsid w:val="00F216FD"/>
    <w:rsid w:val="00F21FEA"/>
    <w:rsid w:val="00F236A1"/>
    <w:rsid w:val="00F2524F"/>
    <w:rsid w:val="00F25E69"/>
    <w:rsid w:val="00F278D6"/>
    <w:rsid w:val="00F27F4E"/>
    <w:rsid w:val="00F311C0"/>
    <w:rsid w:val="00F317C2"/>
    <w:rsid w:val="00F31BA3"/>
    <w:rsid w:val="00F33B3F"/>
    <w:rsid w:val="00F367CB"/>
    <w:rsid w:val="00F40A2C"/>
    <w:rsid w:val="00F4456E"/>
    <w:rsid w:val="00F45D45"/>
    <w:rsid w:val="00F45E62"/>
    <w:rsid w:val="00F460CB"/>
    <w:rsid w:val="00F4765E"/>
    <w:rsid w:val="00F51BDA"/>
    <w:rsid w:val="00F57CC0"/>
    <w:rsid w:val="00F6235D"/>
    <w:rsid w:val="00F65C85"/>
    <w:rsid w:val="00F67AD3"/>
    <w:rsid w:val="00F71CF8"/>
    <w:rsid w:val="00F72229"/>
    <w:rsid w:val="00F74642"/>
    <w:rsid w:val="00F752DD"/>
    <w:rsid w:val="00F75EF3"/>
    <w:rsid w:val="00F764C0"/>
    <w:rsid w:val="00F773B0"/>
    <w:rsid w:val="00F8126A"/>
    <w:rsid w:val="00F85163"/>
    <w:rsid w:val="00F86D87"/>
    <w:rsid w:val="00F876C0"/>
    <w:rsid w:val="00F91D7D"/>
    <w:rsid w:val="00F93965"/>
    <w:rsid w:val="00F94381"/>
    <w:rsid w:val="00F943FA"/>
    <w:rsid w:val="00F94565"/>
    <w:rsid w:val="00F960B3"/>
    <w:rsid w:val="00F96A21"/>
    <w:rsid w:val="00F97713"/>
    <w:rsid w:val="00FA05C0"/>
    <w:rsid w:val="00FA05FA"/>
    <w:rsid w:val="00FA2BDA"/>
    <w:rsid w:val="00FA3359"/>
    <w:rsid w:val="00FA3787"/>
    <w:rsid w:val="00FA51A1"/>
    <w:rsid w:val="00FA73C9"/>
    <w:rsid w:val="00FA7523"/>
    <w:rsid w:val="00FA7CAC"/>
    <w:rsid w:val="00FA7EA7"/>
    <w:rsid w:val="00FA7F31"/>
    <w:rsid w:val="00FB20B4"/>
    <w:rsid w:val="00FB228D"/>
    <w:rsid w:val="00FB26C1"/>
    <w:rsid w:val="00FB3AE0"/>
    <w:rsid w:val="00FB5F76"/>
    <w:rsid w:val="00FB67B4"/>
    <w:rsid w:val="00FB7673"/>
    <w:rsid w:val="00FC2BBD"/>
    <w:rsid w:val="00FC4CAA"/>
    <w:rsid w:val="00FD03E5"/>
    <w:rsid w:val="00FD13FA"/>
    <w:rsid w:val="00FD1D89"/>
    <w:rsid w:val="00FD3791"/>
    <w:rsid w:val="00FD3E7D"/>
    <w:rsid w:val="00FE1066"/>
    <w:rsid w:val="00FE1735"/>
    <w:rsid w:val="00FE25B7"/>
    <w:rsid w:val="00FE2B92"/>
    <w:rsid w:val="00FE71AE"/>
    <w:rsid w:val="00FF00E1"/>
    <w:rsid w:val="00FF0B6A"/>
    <w:rsid w:val="00FF1A4C"/>
    <w:rsid w:val="00FF1C8F"/>
    <w:rsid w:val="00FF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BAD99C"/>
  <w15:docId w15:val="{B1D3A1AC-9533-47E1-A98A-765CC4FD5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451F"/>
    <w:rPr>
      <w:rFonts w:ascii="CRO_Century_Schoolbk-Normal" w:hAnsi="CRO_Century_Schoolbk-Normal"/>
      <w:sz w:val="24"/>
    </w:rPr>
  </w:style>
  <w:style w:type="paragraph" w:styleId="Heading1">
    <w:name w:val="heading 1"/>
    <w:basedOn w:val="Normal"/>
    <w:next w:val="Normal"/>
    <w:qFormat/>
    <w:rsid w:val="003502EC"/>
    <w:pPr>
      <w:keepNext/>
      <w:framePr w:w="5618" w:h="942" w:hSpace="180" w:wrap="around" w:vAnchor="text" w:hAnchor="page" w:x="1721" w:y="319"/>
      <w:jc w:val="center"/>
      <w:outlineLvl w:val="0"/>
    </w:pPr>
    <w:rPr>
      <w:rFonts w:ascii="Times New Roman" w:hAnsi="Times New Roman"/>
      <w:b/>
      <w:bCs/>
      <w:noProof/>
      <w:lang w:val="de-DE"/>
    </w:rPr>
  </w:style>
  <w:style w:type="paragraph" w:styleId="Heading2">
    <w:name w:val="heading 2"/>
    <w:basedOn w:val="Normal"/>
    <w:next w:val="Normal"/>
    <w:qFormat/>
    <w:rsid w:val="003502EC"/>
    <w:pPr>
      <w:keepNext/>
      <w:tabs>
        <w:tab w:val="center" w:pos="6663"/>
      </w:tabs>
      <w:jc w:val="both"/>
      <w:outlineLvl w:val="1"/>
    </w:pPr>
    <w:rPr>
      <w:rFonts w:ascii="Times New Roman" w:hAnsi="Times New Roman"/>
      <w:b/>
      <w:bCs/>
      <w:noProof/>
      <w:sz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6E0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502E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  <w:rsid w:val="003502EC"/>
  </w:style>
  <w:style w:type="paragraph" w:styleId="BodyText">
    <w:name w:val="Body Text"/>
    <w:basedOn w:val="Normal"/>
    <w:semiHidden/>
    <w:rsid w:val="003502EC"/>
    <w:pPr>
      <w:tabs>
        <w:tab w:val="left" w:pos="1134"/>
      </w:tabs>
      <w:jc w:val="both"/>
    </w:pPr>
    <w:rPr>
      <w:noProof/>
      <w:position w:val="-36"/>
    </w:rPr>
  </w:style>
  <w:style w:type="paragraph" w:styleId="ListParagraph">
    <w:name w:val="List Paragraph"/>
    <w:basedOn w:val="Normal"/>
    <w:uiPriority w:val="34"/>
    <w:qFormat/>
    <w:rsid w:val="004E4E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56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655"/>
    <w:rPr>
      <w:rFonts w:ascii="Tahoma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F77C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77CC"/>
    <w:rPr>
      <w:rFonts w:ascii="CRO_Century_Schoolbk-Normal" w:hAnsi="CRO_Century_Schoolbk-Normal"/>
      <w:sz w:val="24"/>
      <w:lang w:val="en-GB"/>
    </w:rPr>
  </w:style>
  <w:style w:type="character" w:styleId="Hyperlink">
    <w:name w:val="Hyperlink"/>
    <w:basedOn w:val="DefaultParagraphFont"/>
    <w:uiPriority w:val="99"/>
    <w:unhideWhenUsed/>
    <w:rsid w:val="008F77CC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rsid w:val="006E33DB"/>
    <w:rPr>
      <w:rFonts w:ascii="CRO_Century_Schoolbk-Normal" w:hAnsi="CRO_Century_Schoolbk-Normal"/>
      <w:sz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6E07"/>
    <w:rPr>
      <w:rFonts w:asciiTheme="majorHAnsi" w:eastAsiaTheme="majorEastAsia" w:hAnsiTheme="majorHAnsi" w:cstheme="majorBidi"/>
      <w:b/>
      <w:bCs/>
      <w:color w:val="4F81BD" w:themeColor="accent1"/>
      <w:sz w:val="24"/>
      <w:lang w:val="en-GB"/>
    </w:rPr>
  </w:style>
  <w:style w:type="table" w:styleId="TableGrid">
    <w:name w:val="Table Grid"/>
    <w:basedOn w:val="TableNormal"/>
    <w:rsid w:val="00B73B1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TableNormal"/>
    <w:uiPriority w:val="59"/>
    <w:rsid w:val="00B73B1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">
    <w:name w:val="Rešetka tablice2"/>
    <w:basedOn w:val="TableNormal"/>
    <w:next w:val="TableGrid"/>
    <w:uiPriority w:val="59"/>
    <w:rsid w:val="00B73B1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3">
    <w:name w:val="Rešetka tablice3"/>
    <w:basedOn w:val="TableNormal"/>
    <w:next w:val="TableGrid"/>
    <w:uiPriority w:val="59"/>
    <w:rsid w:val="00B73B1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1">
    <w:name w:val="Rešetka tablice11"/>
    <w:basedOn w:val="TableNormal"/>
    <w:uiPriority w:val="59"/>
    <w:rsid w:val="00B73B12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4">
    <w:name w:val="Rešetka tablice4"/>
    <w:basedOn w:val="TableNormal"/>
    <w:next w:val="TableGrid"/>
    <w:uiPriority w:val="59"/>
    <w:rsid w:val="00B73B1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2">
    <w:name w:val="Rešetka tablice12"/>
    <w:basedOn w:val="TableNormal"/>
    <w:uiPriority w:val="59"/>
    <w:rsid w:val="00B73B1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99"/>
    <w:qFormat/>
    <w:rsid w:val="00B73B12"/>
    <w:pPr>
      <w:tabs>
        <w:tab w:val="center" w:pos="2520"/>
      </w:tabs>
    </w:pPr>
    <w:rPr>
      <w:rFonts w:ascii="Times New Roman" w:hAnsi="Times New Roman"/>
      <w:b/>
      <w:bCs/>
      <w:szCs w:val="24"/>
    </w:rPr>
  </w:style>
  <w:style w:type="table" w:customStyle="1" w:styleId="TableNormal1">
    <w:name w:val="Table Normal1"/>
    <w:uiPriority w:val="2"/>
    <w:semiHidden/>
    <w:unhideWhenUsed/>
    <w:qFormat/>
    <w:rsid w:val="00B73B1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73B1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NoSpacing">
    <w:name w:val="No Spacing"/>
    <w:uiPriority w:val="1"/>
    <w:qFormat/>
    <w:rsid w:val="00B73B1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32B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BC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BC2"/>
    <w:rPr>
      <w:rFonts w:ascii="CRO_Century_Schoolbk-Normal" w:hAnsi="CRO_Century_Schoolbk-Norm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B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BC2"/>
    <w:rPr>
      <w:rFonts w:ascii="CRO_Century_Schoolbk-Normal" w:hAnsi="CRO_Century_Schoolbk-Norm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hyperlink" Target="http://www.bbz.hr" TargetMode="External"/><Relationship Id="rId1" Type="http://schemas.openxmlformats.org/officeDocument/2006/relationships/hyperlink" Target="http://www.bbz.hr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bz.hr" TargetMode="External"/><Relationship Id="rId2" Type="http://schemas.openxmlformats.org/officeDocument/2006/relationships/hyperlink" Target="http://www.bbz.hr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FC1DE-8A5E-4BAE-9749-88809C941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1277</TotalTime>
  <Pages>9</Pages>
  <Words>3001</Words>
  <Characters>17112</Characters>
  <Application>Microsoft Office Word</Application>
  <DocSecurity>0</DocSecurity>
  <Lines>142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Željka</dc:creator>
  <cp:lastModifiedBy>Sanja Feher</cp:lastModifiedBy>
  <cp:revision>51</cp:revision>
  <cp:lastPrinted>2024-09-03T08:32:00Z</cp:lastPrinted>
  <dcterms:created xsi:type="dcterms:W3CDTF">2024-09-03T11:04:00Z</dcterms:created>
  <dcterms:modified xsi:type="dcterms:W3CDTF">2024-09-04T12:26:00Z</dcterms:modified>
</cp:coreProperties>
</file>