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47110345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47110346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77777777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53EADFC6" w14:textId="59F332A9" w:rsidR="00F432E3" w:rsidRDefault="005B6AC9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Mjera 5. Sufinanciranje nabavke novih i rabljenih strojeva i opreme</w:t>
            </w:r>
          </w:p>
          <w:p w14:paraId="74979CD9" w14:textId="77777777" w:rsidR="00F432E3" w:rsidRDefault="00F432E3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F432E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F432E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F432E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  <w:tr w:rsidR="00F432E3" w14:paraId="4B8A35FC" w14:textId="77777777" w:rsidTr="00F432E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5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734" w14:textId="6002301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 u odnosu na 202</w:t>
            </w:r>
            <w:r w:rsidR="00DA7C1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 g. (%)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92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108D9EF3" w:rsidR="00A55368" w:rsidRDefault="00A55368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0F9E65C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15AA227A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2CA4E6D2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2225B40D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15E6D25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531FCE5C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7BE01456" w14:textId="77777777" w:rsidR="00A95EFD" w:rsidRPr="00A95EFD" w:rsidRDefault="00A95EFD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podnositelj prijave u trenutku podnošenja zahtjeva nema </w:t>
      </w:r>
      <w:r w:rsidRPr="00A95EFD">
        <w:rPr>
          <w:rFonts w:ascii="Arial" w:hAnsi="Arial" w:cs="Arial"/>
          <w:sz w:val="20"/>
          <w:lang w:val="hr-HR"/>
        </w:rPr>
        <w:t>dospjeli nenaplaćeni, porezni dug nastao s osnove poreza, doprinosa i drugih javnih davanja čije je utvrđivanje i/ili naplata i/ili nadzor prema posebnim propisima u nadležnosti poreznog tijela</w:t>
      </w:r>
    </w:p>
    <w:p w14:paraId="554ED2B3" w14:textId="1DE1D61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IX.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0D10F5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0D10F5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0D10F5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0D10F5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0D10F5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0D10F5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bookmarkStart w:id="3" w:name="_GoBack"/>
      <w:bookmarkEnd w:id="3"/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0D10F5"/>
    <w:rsid w:val="00341838"/>
    <w:rsid w:val="0038595F"/>
    <w:rsid w:val="004372A2"/>
    <w:rsid w:val="005B6AC9"/>
    <w:rsid w:val="008669D9"/>
    <w:rsid w:val="00A55368"/>
    <w:rsid w:val="00A95EFD"/>
    <w:rsid w:val="00DA7C18"/>
    <w:rsid w:val="00DB5129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Tea Radoš</cp:lastModifiedBy>
  <cp:revision>10</cp:revision>
  <dcterms:created xsi:type="dcterms:W3CDTF">2023-03-27T11:17:00Z</dcterms:created>
  <dcterms:modified xsi:type="dcterms:W3CDTF">2023-06-01T05:39:00Z</dcterms:modified>
</cp:coreProperties>
</file>